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3400307"/>
      <w:bookmarkStart w:id="1" w:name="_Toc482717189"/>
      <w:bookmarkStart w:id="2" w:name="_Toc483227223"/>
      <w:bookmarkStart w:id="3" w:name="_Toc483666358"/>
      <w:bookmarkStart w:id="4" w:name="_Toc484532399"/>
    </w:p>
    <w:p>
      <w:pPr>
        <w:spacing w:after="158" w:afterLines="50"/>
        <w:jc w:val="center"/>
        <w:rPr>
          <w:rFonts w:ascii="宋体" w:hAnsi="宋体" w:cs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质量管理部质检室荧光定量</w:t>
      </w:r>
      <w:r>
        <w:rPr>
          <w:b/>
          <w:sz w:val="28"/>
          <w:szCs w:val="28"/>
          <w:lang w:val="en-US" w:eastAsia="zh-CN"/>
        </w:rPr>
        <w:t>PCR</w:t>
      </w:r>
      <w:r>
        <w:rPr>
          <w:rFonts w:hint="eastAsia"/>
          <w:b/>
          <w:sz w:val="28"/>
          <w:szCs w:val="28"/>
          <w:lang w:val="en-US" w:eastAsia="zh-CN"/>
        </w:rPr>
        <w:t>仪</w:t>
      </w:r>
      <w:r>
        <w:rPr>
          <w:rFonts w:hint="eastAsia"/>
          <w:b/>
          <w:sz w:val="28"/>
          <w:szCs w:val="28"/>
          <w:lang w:eastAsia="zh-CN"/>
        </w:rPr>
        <w:t>用户需求说明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(</w:t>
      </w:r>
      <w:r>
        <w:rPr>
          <w:b/>
          <w:sz w:val="28"/>
          <w:szCs w:val="28"/>
          <w:lang w:eastAsia="zh-CN"/>
        </w:rPr>
        <w:t>URS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cs="宋体"/>
          <w:b/>
          <w:sz w:val="28"/>
          <w:szCs w:val="28"/>
          <w:lang w:val="en-US" w:eastAsia="zh-CN"/>
        </w:rPr>
        <w:t>)</w:t>
      </w:r>
    </w:p>
    <w:p>
      <w:pPr>
        <w:spacing w:after="158" w:afterLines="50"/>
        <w:jc w:val="center"/>
        <w:rPr>
          <w:rFonts w:ascii="宋体" w:hAnsi="宋体" w:cs="宋体"/>
          <w:b/>
          <w:sz w:val="28"/>
          <w:szCs w:val="28"/>
          <w:lang w:val="en-US" w:eastAsia="zh-CN"/>
        </w:rPr>
      </w:pPr>
    </w:p>
    <w:p>
      <w:pPr>
        <w:pStyle w:val="44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5" w:name="_Toc522716119"/>
      <w:bookmarkStart w:id="6" w:name="_Toc522107739"/>
      <w:r>
        <w:rPr>
          <w:rFonts w:hint="eastAsia" w:ascii="Times New Roman" w:hAnsi="Times New Roman"/>
          <w:b/>
        </w:rPr>
        <w:t>系统描述</w:t>
      </w:r>
      <w:bookmarkEnd w:id="5"/>
      <w:bookmarkEnd w:id="6"/>
    </w:p>
    <w:p>
      <w:pPr>
        <w:pStyle w:val="53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r>
        <w:rPr>
          <w:rFonts w:hint="eastAsia"/>
          <w:iCs/>
          <w:sz w:val="21"/>
          <w:szCs w:val="21"/>
          <w:lang w:val="it-IT" w:eastAsia="zh-CN"/>
        </w:rPr>
        <w:t>本系统由基本</w:t>
      </w:r>
      <w:r>
        <w:rPr>
          <w:iCs/>
          <w:sz w:val="21"/>
          <w:szCs w:val="21"/>
          <w:lang w:eastAsia="zh-CN"/>
        </w:rPr>
        <w:t>PCR</w:t>
      </w:r>
      <w:r>
        <w:rPr>
          <w:rFonts w:hint="eastAsia"/>
          <w:iCs/>
          <w:sz w:val="21"/>
          <w:szCs w:val="21"/>
          <w:lang w:eastAsia="zh-CN"/>
        </w:rPr>
        <w:t>部分、荧光检测部分和上位计算机部分组成。基本</w:t>
      </w:r>
      <w:r>
        <w:rPr>
          <w:iCs/>
          <w:sz w:val="21"/>
          <w:szCs w:val="21"/>
          <w:lang w:eastAsia="zh-CN"/>
        </w:rPr>
        <w:t>PCR</w:t>
      </w:r>
      <w:r>
        <w:rPr>
          <w:rFonts w:hint="eastAsia"/>
          <w:iCs/>
          <w:sz w:val="21"/>
          <w:szCs w:val="21"/>
          <w:lang w:eastAsia="zh-CN"/>
        </w:rPr>
        <w:t>部分是该仪器的基础，包括加热丝、温度采集与处理等部分，它必须具有精确控温、快速升降温、温度场均一等</w:t>
      </w:r>
      <w:r>
        <w:rPr>
          <w:iCs/>
          <w:sz w:val="21"/>
          <w:szCs w:val="21"/>
          <w:lang w:eastAsia="zh-CN"/>
        </w:rPr>
        <w:t>PCR</w:t>
      </w:r>
      <w:r>
        <w:rPr>
          <w:rFonts w:hint="eastAsia"/>
          <w:iCs/>
          <w:sz w:val="21"/>
          <w:szCs w:val="21"/>
          <w:lang w:eastAsia="zh-CN"/>
        </w:rPr>
        <w:t>仪的基本要求，保证</w:t>
      </w:r>
      <w:r>
        <w:rPr>
          <w:iCs/>
          <w:sz w:val="21"/>
          <w:szCs w:val="21"/>
          <w:lang w:eastAsia="zh-CN"/>
        </w:rPr>
        <w:t>PCR</w:t>
      </w:r>
      <w:r>
        <w:rPr>
          <w:rFonts w:hint="eastAsia"/>
          <w:iCs/>
          <w:sz w:val="21"/>
          <w:szCs w:val="21"/>
          <w:lang w:eastAsia="zh-CN"/>
        </w:rPr>
        <w:t>过程的顺利完成。荧光检测部分包括激励光源、光电信增管、信号采集与处理等部分。上位计算机部分包括数据采集和系统分析软件，主要负责从下位机采集数据，形成实时图形，并进行数据处理和圆形分析，得到目标</w:t>
      </w:r>
      <w:r>
        <w:rPr>
          <w:iCs/>
          <w:sz w:val="21"/>
          <w:szCs w:val="21"/>
          <w:lang w:eastAsia="zh-CN"/>
        </w:rPr>
        <w:t>DNA</w:t>
      </w:r>
      <w:r>
        <w:rPr>
          <w:rFonts w:hint="eastAsia"/>
          <w:iCs/>
          <w:sz w:val="21"/>
          <w:szCs w:val="21"/>
          <w:lang w:eastAsia="zh-CN"/>
        </w:rPr>
        <w:t>片段的含量和其它检测报告信息等。</w:t>
      </w:r>
    </w:p>
    <w:p>
      <w:pPr>
        <w:pStyle w:val="44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7" w:name="_Toc522716120"/>
      <w:r>
        <w:rPr>
          <w:rFonts w:hint="eastAsia" w:ascii="Times New Roman" w:hAnsi="Times New Roman"/>
          <w:b/>
          <w:szCs w:val="21"/>
        </w:rPr>
        <w:t>安装要求</w:t>
      </w:r>
      <w:bookmarkEnd w:id="7"/>
    </w:p>
    <w:p>
      <w:pPr>
        <w:pStyle w:val="44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8" w:name="OLE_LINK2"/>
            <w:bookmarkStart w:id="9" w:name="OLE_LINK1"/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质量管理部质检室扩增室。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安装桌面的尺寸不少于</w:t>
            </w:r>
            <w:r>
              <w:rPr>
                <w:szCs w:val="21"/>
                <w:lang w:val="en-US" w:eastAsia="zh-CN"/>
              </w:rPr>
              <w:t>0.6m</w:t>
            </w:r>
            <w:r>
              <w:rPr>
                <w:rFonts w:hint="eastAsia"/>
                <w:szCs w:val="21"/>
                <w:lang w:val="en-US" w:eastAsia="zh-CN"/>
              </w:rPr>
              <w:t>宽，</w:t>
            </w:r>
            <w:r>
              <w:rPr>
                <w:szCs w:val="21"/>
                <w:lang w:val="en-US" w:eastAsia="zh-CN"/>
              </w:rPr>
              <w:t>1.5m</w:t>
            </w:r>
            <w:r>
              <w:rPr>
                <w:rFonts w:hint="eastAsia"/>
                <w:szCs w:val="21"/>
                <w:lang w:val="en-US" w:eastAsia="zh-CN"/>
              </w:rPr>
              <w:t>长。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整机和电脑不超过</w:t>
            </w:r>
            <w:r>
              <w:rPr>
                <w:szCs w:val="21"/>
                <w:lang w:val="en-US" w:eastAsia="zh-CN"/>
              </w:rPr>
              <w:t>45kg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适用于我公司工作环境温度：</w:t>
            </w:r>
            <w:r>
              <w:rPr>
                <w:color w:val="000000"/>
                <w:szCs w:val="22"/>
                <w:lang w:val="en-US" w:eastAsia="zh-CN"/>
              </w:rPr>
              <w:t>15-30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℃。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适用于我公司工作环境湿度：</w:t>
            </w:r>
            <w:r>
              <w:rPr>
                <w:color w:val="000000"/>
                <w:lang w:val="en-US" w:eastAsia="zh-CN"/>
              </w:rPr>
              <w:t>20%-80%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适用于我公司工作环境洁净级别：无特殊要求。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适用于我公司交流电电源供电：～220±10%V，50±1Hz 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整机外壳应光滑易清洁。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标识：至少应有以下永久贴牢和清楚易认的标识：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（5）对设备必要的说明；</w:t>
            </w:r>
          </w:p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（6）安全标识。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8"/>
      <w:bookmarkEnd w:id="9"/>
    </w:tbl>
    <w:p>
      <w:pPr>
        <w:pStyle w:val="44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44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0" w:name="_Toc522716121"/>
      <w:bookmarkStart w:id="11" w:name="_Toc522107740"/>
      <w:r>
        <w:rPr>
          <w:rFonts w:hint="eastAsia" w:ascii="Times New Roman" w:hAnsi="Times New Roman"/>
          <w:b/>
        </w:rPr>
        <w:t>运行要求</w:t>
      </w:r>
      <w:bookmarkEnd w:id="10"/>
      <w:bookmarkEnd w:id="11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内置</w:t>
            </w:r>
            <w:r>
              <w:rPr>
                <w:rFonts w:ascii="宋体" w:hAnsi="宋体"/>
                <w:lang w:eastAsia="zh-CN"/>
              </w:rPr>
              <w:t>96</w:t>
            </w:r>
            <w:r>
              <w:rPr>
                <w:rFonts w:hint="eastAsia" w:ascii="宋体" w:hAnsi="宋体"/>
                <w:lang w:eastAsia="zh-CN"/>
              </w:rPr>
              <w:t>孔半导体控温</w:t>
            </w:r>
            <w:r>
              <w:rPr>
                <w:rFonts w:ascii="宋体" w:hAnsi="宋体"/>
                <w:lang w:eastAsia="zh-CN"/>
              </w:rPr>
              <w:t>PCR</w:t>
            </w:r>
            <w:r>
              <w:rPr>
                <w:rFonts w:hint="eastAsia" w:ascii="宋体" w:hAnsi="宋体"/>
                <w:lang w:eastAsia="zh-CN"/>
              </w:rPr>
              <w:t>仪。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模块独立控温功能：96孔0.2ml标准模块和0.1ml快速模块均支持6个独立的精确数码控温区域，一次实验可运行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3～</w:t>
            </w:r>
            <w:r>
              <w:rPr>
                <w:rFonts w:hint="eastAsia" w:ascii="宋体" w:hAnsi="宋体"/>
                <w:szCs w:val="22"/>
                <w:lang w:eastAsia="zh-CN"/>
              </w:rPr>
              <w:t>6个不同温度。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光源：单个白光半导体光源激发整板荧光基团。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asci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检测器数量：单个科研级别CMOS检测整板荧光基团；</w:t>
            </w:r>
          </w:p>
          <w:p>
            <w:pPr>
              <w:rPr>
                <w:rFonts w:asci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荧光检测通道：单个样品孔可检测6个或以上靶标基因。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ascii="宋体" w:hAnsi="宋体"/>
                <w:szCs w:val="22"/>
                <w:lang w:val="en-US" w:eastAsia="zh-CN"/>
              </w:rPr>
            </w:pPr>
            <w:r>
              <w:rPr>
                <w:rFonts w:hint="default" w:ascii="Times New Roman" w:hAnsi="Times New Roman"/>
                <w:szCs w:val="22"/>
                <w:lang w:eastAsia="zh-CN"/>
              </w:rPr>
              <w:t>最</w:t>
            </w:r>
            <w:r>
              <w:rPr>
                <w:rFonts w:hint="default" w:ascii="Times New Roman" w:hAnsi="Times New Roman"/>
                <w:color w:val="auto"/>
                <w:szCs w:val="22"/>
                <w:lang w:eastAsia="zh-CN"/>
              </w:rPr>
              <w:t>高升降温速率：不小于</w:t>
            </w:r>
            <w:r>
              <w:rPr>
                <w:rFonts w:hint="default" w:ascii="Times New Roman" w:hAnsi="Times New Roman"/>
                <w:color w:val="auto"/>
                <w:szCs w:val="22"/>
                <w:lang w:val="en-US" w:eastAsia="zh-CN"/>
              </w:rPr>
              <w:t>4.5</w:t>
            </w:r>
            <w:r>
              <w:rPr>
                <w:rFonts w:hint="default" w:ascii="Times New Roman" w:hAnsi="Times New Roman"/>
                <w:color w:val="auto"/>
                <w:szCs w:val="22"/>
                <w:lang w:eastAsia="zh-CN"/>
              </w:rPr>
              <w:t>°C/秒</w:t>
            </w:r>
            <w:r>
              <w:rPr>
                <w:rFonts w:hint="default" w:ascii="Times New Roman" w:hAnsi="Times New Roman"/>
                <w:color w:val="auto"/>
                <w:szCs w:val="22"/>
                <w:lang w:val="en-US" w:eastAsia="zh-CN"/>
              </w:rPr>
              <w:t>,</w:t>
            </w:r>
            <w:r>
              <w:rPr>
                <w:rFonts w:hint="default" w:ascii="Times New Roman" w:hAnsi="Times New Roman"/>
                <w:color w:val="auto"/>
                <w:szCs w:val="22"/>
                <w:lang w:eastAsia="zh-CN"/>
              </w:rPr>
              <w:t>平均升降温速率</w:t>
            </w:r>
            <w:r>
              <w:rPr>
                <w:rFonts w:hint="default" w:ascii="Times New Roman" w:hAnsi="Times New Roman"/>
                <w:color w:val="auto"/>
                <w:szCs w:val="22"/>
                <w:lang w:val="en-US" w:eastAsia="zh-CN"/>
              </w:rPr>
              <w:t>≥</w:t>
            </w:r>
            <w:r>
              <w:rPr>
                <w:rFonts w:ascii="Times New Roman" w:hAnsi="Times New Roman"/>
                <w:color w:val="auto"/>
                <w:szCs w:val="22"/>
                <w:lang w:val="en-US" w:eastAsia="zh-CN"/>
              </w:rPr>
              <w:t>1.5</w:t>
            </w:r>
            <w:r>
              <w:rPr>
                <w:rFonts w:hint="default" w:ascii="Times New Roman" w:hAnsi="Times New Roman"/>
                <w:color w:val="auto"/>
                <w:szCs w:val="22"/>
                <w:lang w:val="en-US" w:eastAsia="zh-CN"/>
              </w:rPr>
              <w:t>°C</w:t>
            </w:r>
            <w:r>
              <w:rPr>
                <w:rFonts w:ascii="Times New Roman" w:hAnsi="Times New Roman"/>
                <w:color w:val="auto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/>
                <w:color w:val="auto"/>
                <w:szCs w:val="22"/>
                <w:lang w:val="en-US" w:eastAsia="zh-CN"/>
              </w:rPr>
              <w:t>秒</w:t>
            </w:r>
            <w:r>
              <w:rPr>
                <w:rFonts w:ascii="Times New Roman" w:hAnsi="Times New Roman"/>
                <w:color w:val="auto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Cs w:val="22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lang w:eastAsia="zh-CN"/>
              </w:rPr>
              <w:t>30 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  <w:lang w:eastAsia="zh-CN"/>
              </w:rPr>
              <w:t>50 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  <w:lang w:eastAsia="zh-CN"/>
              </w:rPr>
              <w:t>60 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  <w:lang w:eastAsia="zh-CN"/>
              </w:rPr>
              <w:t>70 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、9</w:t>
            </w:r>
            <w:r>
              <w:rPr>
                <w:rFonts w:ascii="Times New Roman" w:hAnsi="Times New Roman"/>
                <w:color w:val="auto"/>
                <w:lang w:eastAsia="zh-CN"/>
              </w:rPr>
              <w:t>0℃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、9</w:t>
            </w:r>
            <w:r>
              <w:rPr>
                <w:rFonts w:ascii="Times New Roman" w:hAnsi="Times New Roman"/>
                <w:color w:val="auto"/>
                <w:lang w:eastAsia="zh-CN"/>
              </w:rPr>
              <w:t>5℃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时温度示值误差</w:t>
            </w:r>
            <m:oMath>
              <m:r>
                <m:rPr/>
                <w:rPr>
                  <w:rFonts w:ascii="Cambria Math" w:hAnsi="Cambria Math"/>
                  <w:color w:val="auto"/>
                  <w:lang w:eastAsia="zh-CN"/>
                </w:rPr>
                <m:t>≤</m:t>
              </m:r>
            </m:oMath>
            <w:r>
              <w:rPr>
                <w:rFonts w:ascii="Times New Roman" w:hAnsi="Times New Roman"/>
                <w:color w:val="auto"/>
                <w:lang w:eastAsia="zh-CN"/>
              </w:rPr>
              <w:t>0.5 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，温度均匀度</w:t>
            </w:r>
            <m:oMath>
              <m:r>
                <m:rPr/>
                <w:rPr>
                  <w:rFonts w:ascii="Cambria Math" w:hAnsi="Cambria Math"/>
                  <w:color w:val="auto"/>
                  <w:lang w:eastAsia="zh-CN"/>
                </w:rPr>
                <m:t>≤</m:t>
              </m:r>
            </m:oMath>
            <w:r>
              <w:rPr>
                <w:rFonts w:ascii="Times New Roman" w:hAnsi="Times New Roman"/>
                <w:color w:val="auto"/>
                <w:lang w:eastAsia="zh-CN"/>
              </w:rPr>
              <w:t>1.0℃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，温度波动度</w:t>
            </w:r>
            <m:oMath>
              <m:r>
                <m:rPr/>
                <w:rPr>
                  <w:rFonts w:ascii="Cambria Math" w:hAnsi="Cambria Math"/>
                  <w:color w:val="auto"/>
                  <w:lang w:eastAsia="zh-CN"/>
                </w:rPr>
                <m:t>≤</m:t>
              </m:r>
            </m:oMath>
            <w:r>
              <w:rPr>
                <w:rFonts w:ascii="Times New Roman" w:hAnsi="Times New Roman"/>
                <w:color w:val="auto"/>
                <w:lang w:eastAsia="zh-CN"/>
              </w:rPr>
              <w:t>0.2 ℃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通道峰值强度一致性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±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 xml:space="preserve">0.2 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，线性灵敏系数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±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>0.2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，熔解温度漂移±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°C ，熔解温度比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±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>0.2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能在单次反应中同时区分VIC和TAMRA荧光，试剂耗材开放，可使用国内外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80%以上的市场化试剂盒及透明耗材。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装机指标：有效区分</w:t>
            </w:r>
            <w:r>
              <w:rPr>
                <w:rFonts w:ascii="宋体" w:hAnsi="宋体"/>
                <w:lang w:eastAsia="zh-CN"/>
              </w:rPr>
              <w:t>5000</w:t>
            </w:r>
            <w:r>
              <w:rPr>
                <w:rFonts w:hint="eastAsia" w:ascii="宋体" w:hAnsi="宋体"/>
                <w:lang w:eastAsia="zh-CN"/>
              </w:rPr>
              <w:t>和</w:t>
            </w:r>
            <w:r>
              <w:rPr>
                <w:rFonts w:ascii="宋体" w:hAnsi="宋体"/>
                <w:lang w:eastAsia="zh-CN"/>
              </w:rPr>
              <w:t>10000</w:t>
            </w:r>
            <w:r>
              <w:rPr>
                <w:rFonts w:hint="eastAsia" w:ascii="宋体" w:hAnsi="宋体"/>
                <w:lang w:eastAsia="zh-CN"/>
              </w:rPr>
              <w:t>拷贝的模板，置信度为</w:t>
            </w:r>
            <w:r>
              <w:rPr>
                <w:rFonts w:ascii="宋体" w:hAnsi="宋体"/>
                <w:lang w:eastAsia="zh-CN"/>
              </w:rPr>
              <w:t>99.7%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rPr>
                <w:rFonts w:ascii="宋体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可提供三种以上操作平台：单机操作、连接电脑操作及云服务平台操作。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rFonts w:asci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支持内参比荧光</w:t>
            </w:r>
            <w:r>
              <w:rPr>
                <w:rFonts w:ascii="宋体" w:hAnsi="宋体"/>
                <w:lang w:eastAsia="zh-CN"/>
              </w:rPr>
              <w:t>ROX</w:t>
            </w:r>
            <w:r>
              <w:rPr>
                <w:rFonts w:hint="eastAsia" w:ascii="宋体" w:hAnsi="宋体"/>
                <w:lang w:eastAsia="zh-CN"/>
              </w:rPr>
              <w:t>校正加样误差和管间差异，</w:t>
            </w:r>
            <w:r>
              <w:rPr>
                <w:rFonts w:hint="eastAsia" w:ascii="宋体" w:hAnsi="宋体"/>
                <w:szCs w:val="22"/>
                <w:lang w:eastAsia="zh-CN"/>
              </w:rPr>
              <w:t>主机自带触摸屏，内置电脑含存储空间：≥10Gb。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温度范围：</w:t>
            </w:r>
            <w:r>
              <w:rPr>
                <w:rFonts w:ascii="宋体" w:hAnsi="宋体"/>
                <w:lang w:eastAsia="zh-CN"/>
              </w:rPr>
              <w:t>4</w:t>
            </w:r>
            <w:r>
              <w:rPr>
                <w:rFonts w:hint="eastAsia" w:ascii="宋体" w:hAnsi="宋体"/>
                <w:lang w:eastAsia="zh-CN"/>
              </w:rPr>
              <w:t>°</w:t>
            </w:r>
            <w:r>
              <w:rPr>
                <w:rFonts w:ascii="宋体" w:hAnsi="宋体"/>
                <w:lang w:eastAsia="zh-CN"/>
              </w:rPr>
              <w:t>C–100</w:t>
            </w:r>
            <w:r>
              <w:rPr>
                <w:rFonts w:hint="eastAsia" w:ascii="宋体" w:hAnsi="宋体"/>
                <w:lang w:eastAsia="zh-CN"/>
              </w:rPr>
              <w:t>°</w:t>
            </w:r>
            <w:r>
              <w:rPr>
                <w:rFonts w:ascii="宋体" w:hAnsi="宋体"/>
                <w:lang w:eastAsia="zh-CN"/>
              </w:rPr>
              <w:t>C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lang w:val="en-GB" w:eastAsia="zh-CN" w:bidi="ar-SA"/>
              </w:rPr>
            </w:pPr>
            <w:r>
              <w:rPr>
                <w:rFonts w:hint="default" w:ascii="Times New Roman" w:hAnsi="Times New Roman"/>
                <w:color w:val="auto"/>
                <w:lang w:eastAsia="zh-CN"/>
              </w:rPr>
              <w:t>支持HRM应用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lang w:val="en-GB" w:eastAsia="zh-CN" w:bidi="ar-SA"/>
              </w:rPr>
            </w:pPr>
            <w:r>
              <w:rPr>
                <w:rFonts w:hint="default" w:ascii="Times New Roman" w:hAnsi="Times New Roman"/>
                <w:color w:val="auto"/>
                <w:lang w:eastAsia="zh-CN"/>
              </w:rPr>
              <w:t>同时采集荧光信号，孔与孔之间没有时间差。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lang w:val="en-GB" w:eastAsia="zh-CN" w:bidi="ar-SA"/>
              </w:rPr>
            </w:pPr>
            <w:r>
              <w:rPr>
                <w:color w:val="auto"/>
                <w:lang w:eastAsia="zh-CN"/>
              </w:rPr>
              <w:t>样本检测的重复性高，对高浓度和低浓度核酸样本分别进行重复性检测，CV 值＜ 3%。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阈值循环数示值误差</w:t>
            </w:r>
            <m:oMath>
              <m:r>
                <m:rPr/>
                <w:rPr>
                  <w:rFonts w:ascii="Cambria Math" w:hAnsi="Cambria Math"/>
                  <w:color w:val="auto"/>
                  <w:lang w:eastAsia="zh-CN"/>
                </w:rPr>
                <m:t>≤</m:t>
              </m:r>
            </m:oMath>
            <w:r>
              <w:rPr>
                <w:rFonts w:hint="default" w:ascii="Times New Roman" w:hAnsi="Times New Roman"/>
                <w:iCs/>
                <w:color w:val="auto"/>
                <w:lang w:eastAsia="zh-CN"/>
              </w:rPr>
              <w:t>2</w:t>
            </w:r>
            <w:r>
              <w:rPr>
                <w:rFonts w:ascii="Times New Roman" w:hAnsi="Times New Roman"/>
                <w:iCs/>
                <w:color w:val="auto"/>
                <w:lang w:eastAsia="zh-CN"/>
              </w:rPr>
              <w:t>.5</w:t>
            </w:r>
            <w:r>
              <w:rPr>
                <w:rFonts w:hint="default" w:ascii="Times New Roman" w:hAnsi="Times New Roman"/>
                <w:iCs/>
                <w:color w:val="auto"/>
                <w:lang w:eastAsia="zh-CN"/>
              </w:rPr>
              <w:t>，阈值循环数均匀度</w:t>
            </w:r>
            <m:oMath>
              <m:r>
                <m:rPr/>
                <w:rPr>
                  <w:rFonts w:ascii="Cambria Math" w:hAnsi="Cambria Math"/>
                  <w:color w:val="auto"/>
                  <w:lang w:eastAsia="zh-CN"/>
                </w:rPr>
                <m:t>≤</m:t>
              </m:r>
            </m:oMath>
            <w:r>
              <w:rPr>
                <w:rFonts w:ascii="Times New Roman" w:hAnsi="Times New Roman"/>
                <w:iCs/>
                <w:color w:val="auto"/>
                <w:lang w:eastAsia="zh-CN"/>
              </w:rPr>
              <w:t>5</w:t>
            </w:r>
            <w:r>
              <w:rPr>
                <w:rFonts w:hint="default" w:ascii="Times New Roman" w:hAnsi="Times New Roman"/>
                <w:iCs/>
                <w:color w:val="auto"/>
                <w:lang w:eastAsia="zh-CN"/>
              </w:rPr>
              <w:t>，阈值循环数精密度</w:t>
            </w:r>
            <m:oMath>
              <m:r>
                <m:rPr/>
                <w:rPr>
                  <w:rFonts w:ascii="Cambria Math" w:hAnsi="Cambria Math"/>
                  <w:color w:val="auto"/>
                  <w:lang w:eastAsia="zh-CN"/>
                </w:rPr>
                <m:t>≤</m:t>
              </m:r>
            </m:oMath>
            <w:r>
              <w:rPr>
                <w:rFonts w:ascii="Times New Roman" w:hAnsi="Times New Roman"/>
                <w:iCs/>
                <w:color w:val="auto"/>
                <w:lang w:eastAsia="zh-CN"/>
              </w:rPr>
              <w:t>10</w:t>
            </w:r>
            <w:r>
              <w:rPr>
                <w:rFonts w:hint="default" w:ascii="Times New Roman" w:hAnsi="Times New Roman"/>
                <w:iCs/>
                <w:color w:val="auto"/>
                <w:lang w:eastAsia="zh-CN"/>
              </w:rPr>
              <w:t>。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样本示值误差</w:t>
            </w:r>
            <m:oMath>
              <m:r>
                <m:rPr/>
                <w:rPr>
                  <w:rFonts w:ascii="Cambria Math" w:hAnsi="Cambria Math"/>
                  <w:color w:val="auto"/>
                  <w:lang w:eastAsia="zh-CN"/>
                </w:rPr>
                <m:t>≤</m:t>
              </m:r>
            </m:oMath>
            <w:r>
              <w:rPr>
                <w:rFonts w:ascii="Times New Roman" w:hAnsi="Times New Roman"/>
                <w:color w:val="auto"/>
                <w:lang w:eastAsia="zh-CN"/>
              </w:rPr>
              <w:t>15%</w:t>
            </w:r>
            <w:r>
              <w:rPr>
                <w:rFonts w:hint="default" w:ascii="Times New Roman" w:hAnsi="Times New Roman"/>
                <w:color w:val="auto"/>
                <w:lang w:eastAsia="zh-CN"/>
              </w:rPr>
              <w:t>，样本线性相关系数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≥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>0.980</w:t>
            </w:r>
            <w:r>
              <w:rPr>
                <w:rFonts w:hint="default" w:ascii="Times New Roman" w:hAnsi="Times New Roman"/>
                <w:color w:val="auto"/>
                <w:lang w:val="en-US" w:eastAsia="zh-CN"/>
              </w:rPr>
              <w:t>。</w:t>
            </w:r>
            <w:r>
              <w:rPr>
                <w:rFonts w:ascii="Times New Roman" w:hAnsi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包括保准运行模式和快速运行模式，标准模式定量</w:t>
            </w:r>
            <w:r>
              <w:rPr>
                <w:szCs w:val="21"/>
                <w:lang w:val="en-US" w:eastAsia="zh-CN"/>
              </w:rPr>
              <w:t>PCR</w:t>
            </w:r>
            <w:r>
              <w:rPr>
                <w:rFonts w:hint="eastAsia"/>
                <w:szCs w:val="21"/>
                <w:lang w:val="en-US" w:eastAsia="zh-CN"/>
              </w:rPr>
              <w:t>运行时间</w:t>
            </w:r>
            <w:r>
              <w:rPr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小时，样品管型为</w:t>
            </w:r>
            <w:r>
              <w:rPr>
                <w:szCs w:val="21"/>
                <w:lang w:val="en-US" w:eastAsia="zh-CN"/>
              </w:rPr>
              <w:t>96</w:t>
            </w:r>
            <w:r>
              <w:rPr>
                <w:rFonts w:hint="eastAsia"/>
                <w:szCs w:val="21"/>
                <w:lang w:val="en-US" w:eastAsia="zh-CN"/>
              </w:rPr>
              <w:t>孔板或</w:t>
            </w:r>
            <w:r>
              <w:rPr>
                <w:szCs w:val="21"/>
                <w:lang w:val="en-US" w:eastAsia="zh-CN"/>
              </w:rPr>
              <w:t>0.2ml</w:t>
            </w:r>
            <w:r>
              <w:rPr>
                <w:rFonts w:hint="eastAsia"/>
                <w:szCs w:val="21"/>
                <w:lang w:val="en-US" w:eastAsia="zh-CN"/>
              </w:rPr>
              <w:t>单管，反应体积</w:t>
            </w:r>
            <w:r>
              <w:rPr>
                <w:szCs w:val="21"/>
                <w:lang w:val="en-US" w:eastAsia="zh-CN"/>
              </w:rPr>
              <w:t>25-100ul</w:t>
            </w:r>
            <w:r>
              <w:rPr>
                <w:rFonts w:hint="eastAsia"/>
                <w:szCs w:val="21"/>
                <w:lang w:val="en-US" w:eastAsia="zh-CN"/>
              </w:rPr>
              <w:t>；快速运行模式</w:t>
            </w:r>
            <w:r>
              <w:rPr>
                <w:rFonts w:ascii="宋体" w:hAnsi="宋体" w:cs="宋体"/>
                <w:szCs w:val="21"/>
                <w:lang w:val="en-US" w:eastAsia="zh-CN"/>
              </w:rPr>
              <w:t>&lt;40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分钟，</w:t>
            </w:r>
            <w:r>
              <w:rPr>
                <w:rFonts w:hint="eastAsia"/>
                <w:szCs w:val="21"/>
                <w:lang w:val="en-US" w:eastAsia="zh-CN"/>
              </w:rPr>
              <w:t>样品管型为</w:t>
            </w:r>
            <w:r>
              <w:rPr>
                <w:szCs w:val="21"/>
                <w:lang w:val="en-US" w:eastAsia="zh-CN"/>
              </w:rPr>
              <w:t>96</w:t>
            </w:r>
            <w:r>
              <w:rPr>
                <w:rFonts w:hint="eastAsia"/>
                <w:szCs w:val="21"/>
                <w:lang w:val="en-US" w:eastAsia="zh-CN"/>
              </w:rPr>
              <w:t>孔板，反应体积</w:t>
            </w:r>
            <w:r>
              <w:rPr>
                <w:szCs w:val="21"/>
                <w:lang w:val="en-US" w:eastAsia="zh-CN"/>
              </w:rPr>
              <w:t>5-30ul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pStyle w:val="44"/>
        <w:spacing w:after="158" w:afterLines="50"/>
        <w:ind w:left="-424" w:leftChars="-202" w:firstLine="0" w:firstLineChars="0"/>
        <w:outlineLvl w:val="0"/>
        <w:rPr>
          <w:rFonts w:ascii="Times New Roman" w:hAnsi="Times New Roman"/>
          <w:b/>
        </w:rPr>
      </w:pPr>
      <w:bookmarkStart w:id="12" w:name="_Toc522716122"/>
      <w:bookmarkStart w:id="13" w:name="_Toc522107742"/>
      <w:bookmarkStart w:id="14" w:name="_Toc482360291"/>
      <w:bookmarkStart w:id="15" w:name="_Toc482717202"/>
      <w:bookmarkStart w:id="16" w:name="_Toc482359946"/>
      <w:bookmarkStart w:id="17" w:name="_Toc482370359"/>
      <w:bookmarkStart w:id="18" w:name="_Toc482625289"/>
      <w:bookmarkStart w:id="19" w:name="_Toc483227237"/>
      <w:bookmarkStart w:id="20" w:name="_Toc482370767"/>
      <w:bookmarkStart w:id="21" w:name="_Toc481702480"/>
      <w:bookmarkStart w:id="22" w:name="_Toc482370151"/>
      <w:bookmarkStart w:id="23" w:name="_Toc482369815"/>
      <w:bookmarkStart w:id="24" w:name="_Toc483400317"/>
      <w:bookmarkStart w:id="25" w:name="_Toc482370071"/>
    </w:p>
    <w:p>
      <w:pPr>
        <w:pStyle w:val="44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电气、自动控制要求</w:t>
      </w:r>
      <w:bookmarkEnd w:id="12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应有接入局域网的能力以及对实验室数据信息管理系统兼容性。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仪器软件具有密码管理的功能。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系统时间应同步，与标准时间偏差≤5</w:t>
            </w:r>
            <w:r>
              <w:rPr>
                <w:iCs/>
                <w:szCs w:val="21"/>
                <w:lang w:eastAsia="zh-CN"/>
              </w:rPr>
              <w:t>s/24h</w:t>
            </w:r>
            <w:r>
              <w:rPr>
                <w:rFonts w:hint="eastAsia"/>
                <w:iCs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仪器软件每级权限应可以设置多个用户，并有用户分级管理功能，每个等级拥有相应的可设置权限。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系统应可以为每个用户创建唯一的用户名和密码。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系统应不允许两个或多个用户拥有相同的用户名。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屏幕显示的结果、存储的电子记录内容与打印报告应是一致的。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用户在密码输入时，电脑显示器上应不显示实际密码（比如密码会以*或其他符合显示）。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系统管理员应可以重置密码，用户可修改自己的密码。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系统应可以设置密码最小长度为8位。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应有安全保护以防止未授权的用户账号和密码进行使用，比如5次无效登录尝试后将锁定账户等。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系统管理员应可以激活锁住的账户。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系统必须具有超时强制退出要求重新登录的功能。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系统应可以允许用户和管理员更改自己的密码。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系统应可设置密码效期，如3个月。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系统应可提示密码效期信息以提醒用户更改密码。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系统应有审计追踪功能，可以记录关键操作、系统和安全的事件，比如登录登出、密码更改、方法参数更改、权限配置、系统设置、记录删除与修改，以及相应操作人员、日期时间、操作描述、操作原因等。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审计追踪记录应自动存储且不可被删除或更改，可查询、输出、备份恢复、打印。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系统应可以新增、修改和禁用账户，这些权限应可被系统管理员禁用。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应有控制措施以防止电子记录从应用软件外面被修改或删除。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报告格式应包含以下内容：日期，名称，运行时间，产品名称，产品批号，数据/曲线，审计追踪记录，报警记录，运行号等。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使用者应不能修改测试结果。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系统断电恢复不影响系统及参数设置、数据完整性，恢复后系统可正常运行。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供应商提供系统及程序备份盘及备份恢复说明。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供应商提供备份数据读取策略，必要时提供相关程序。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系统程序软件必须为正版。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若有操作系统，则操作系统必须为正版，若操作系统为Windows，必须为专业版以上版本。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spacing w:after="158" w:afterLines="50"/>
        <w:rPr>
          <w:b/>
          <w:lang w:eastAsia="zh-CN"/>
        </w:rPr>
      </w:pPr>
    </w:p>
    <w:p>
      <w:pPr>
        <w:pStyle w:val="44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716123"/>
      <w:r>
        <w:rPr>
          <w:rFonts w:hint="eastAsia" w:ascii="Times New Roman" w:hAnsi="Times New Roman"/>
          <w:b/>
        </w:rPr>
        <w:t>安全要求</w:t>
      </w:r>
      <w:bookmarkEnd w:id="13"/>
      <w:bookmarkEnd w:id="26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气安全应符合G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和4793.4的要求。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7" w:name="_Toc522107743"/>
      <w:bookmarkStart w:id="28" w:name="_Toc522716124"/>
      <w:r>
        <w:rPr>
          <w:rFonts w:hint="eastAsia" w:ascii="Times New Roman" w:hAnsi="Times New Roman"/>
          <w:b/>
        </w:rPr>
        <w:t>文件要求</w:t>
      </w:r>
      <w:bookmarkEnd w:id="27"/>
      <w:bookmarkEnd w:id="28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整机（包括计算机化系统）运行及维护手册应为中文，纸质文件至少一式三份，</w:t>
            </w:r>
            <w:r>
              <w:rPr>
                <w:rFonts w:hint="eastAsia" w:hAnsi="宋体"/>
                <w:sz w:val="24"/>
                <w:u w:color="333333"/>
                <w:lang w:eastAsia="zh-CN"/>
              </w:rPr>
              <w:t>电子版</w:t>
            </w:r>
            <w:r>
              <w:rPr>
                <w:rFonts w:hint="eastAsia"/>
                <w:szCs w:val="21"/>
                <w:lang w:eastAsia="zh-CN"/>
              </w:rPr>
              <w:t>至少一份。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投标文件、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原厂或者中国区总代理授权书，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合同、订单及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设备交付计划表。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生产商发运清单及所有单元配件及其组合的检验报告和证书标识等。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设计选型文件：配置清单与说明。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图纸：实物图；各种验证、维修等活动所需的电子版及打印版设备尺寸图、设备局部图（与功能相关的细节图）、安装图；提供设备及其零部件使用寿命清单。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组件清单、易损件清单、备件、消耗品清单：包括名称、编号、对应厂家名称、生产地、规格、使用寿命及必要说明。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设备操作手册（</w:t>
            </w:r>
            <w:r>
              <w:rPr>
                <w:szCs w:val="21"/>
                <w:u w:color="333333"/>
                <w:lang w:eastAsia="zh-CN"/>
              </w:rPr>
              <w:t>SOP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）：语言为中文，应说明设备维护内容、校准周期，并能提供校准服务。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有资质的第三方检测机构出具的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首次校验报告及计量证书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，设备到厂验收时有效期不得少于</w:t>
            </w:r>
            <w:r>
              <w:rPr>
                <w:rFonts w:hAnsi="宋体"/>
                <w:szCs w:val="21"/>
                <w:u w:color="333333"/>
                <w:lang w:eastAsia="zh-CN"/>
              </w:rPr>
              <w:t>6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个月。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安全报告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设备厂家文件：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出厂测试合格证、说明书、</w:t>
            </w:r>
            <w:r>
              <w:rPr>
                <w:rFonts w:hint="eastAsia" w:ascii="宋体" w:hAnsi="宋体"/>
                <w:szCs w:val="21"/>
                <w:lang w:eastAsia="zh-CN"/>
              </w:rPr>
              <w:t>相关检测报告、各种标示。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调试文件：调试计划（调试说明、调试清单、现场验收测试、保修信息、培训计划等），总测试计划，检查计划，检测清单，各测试结果，调试总结报告等。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，需要做</w:t>
            </w:r>
            <w:r>
              <w:rPr>
                <w:rFonts w:hint="eastAsia"/>
                <w:szCs w:val="21"/>
                <w:lang w:val="en-US" w:eastAsia="zh-CN"/>
              </w:rPr>
              <w:t>3Q验证，并出具3Q（安装，运行，性能）验证证书。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验证文件：</w:t>
            </w:r>
            <w:r>
              <w:rPr>
                <w:rFonts w:hint="eastAsia"/>
                <w:szCs w:val="21"/>
                <w:lang w:eastAsia="zh-CN"/>
              </w:rPr>
              <w:t>验证计划、验证总结报告（</w:t>
            </w:r>
            <w:r>
              <w:rPr>
                <w:szCs w:val="21"/>
                <w:lang w:eastAsia="zh-CN"/>
              </w:rPr>
              <w:t>VSR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现场验收报告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文件具体要求：</w:t>
            </w:r>
          </w:p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1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）系统相关方案中，应明确本系统的配置、规格，并且通过分析阐述每一个系统环节的必要性；</w:t>
            </w:r>
          </w:p>
          <w:p>
            <w:pPr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2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）标书中明确系统所有组件的品牌、材质、型号，并且注明每一个组件的保修期；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（</w:t>
            </w:r>
            <w:r>
              <w:rPr>
                <w:rFonts w:hAnsi="宋体"/>
                <w:szCs w:val="21"/>
                <w:u w:color="333333"/>
                <w:lang w:eastAsia="zh-CN"/>
              </w:rPr>
              <w:t>3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）除另有约定外，上述文件中方案或计划类文件应在合同签订后设备发运前交付审核。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9" w:name="_Toc522716125"/>
      <w:r>
        <w:rPr>
          <w:rFonts w:hint="eastAsia" w:ascii="Times New Roman" w:hAnsi="Times New Roman"/>
          <w:b/>
          <w:szCs w:val="21"/>
        </w:rPr>
        <w:t>服务要求</w:t>
      </w:r>
      <w:bookmarkEnd w:id="29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设备供应商应免费对设备使用方人员进行全面培训，包括对操作人员及设备维护、维修人员，并填写培训记录。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操作人员培训包括设备结构原理、性能、操作、清洗消毒、故障排除等基本知识。合格标准为用户参加培训人员能够独立正确操作设备，会排除常见故障。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，需要做</w:t>
            </w:r>
            <w:r>
              <w:rPr>
                <w:rFonts w:hint="eastAsia"/>
                <w:szCs w:val="21"/>
                <w:lang w:val="en-US" w:eastAsia="zh-CN"/>
              </w:rPr>
              <w:t>3Q验证，并出具3Q（安装，运行，性能）验证证书。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验证文件：验证计划、验证总结报告（VSR）。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投标方按</w:t>
            </w:r>
            <w:r>
              <w:rPr>
                <w:rFonts w:ascii="宋体" w:hAnsi="宋体" w:cs="宋体"/>
                <w:szCs w:val="21"/>
                <w:lang w:eastAsia="zh-CN"/>
              </w:rPr>
              <w:t>GMP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规范完成所有验证工作，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各验证工作开始前验证方案需经过本公司相关部门审核，并经质量保证部批准。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验证工作应按时保质完成，供应商需提供验证工作计划表。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验证项目应包含法规要求的测试项目，以及本公司提出的测试项目。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验证工作完成后，验证记录经本公司相关部门审核，并经质量保证部批准。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验收前，验证工作已成功完成，验证最终报告已经本公司相关部门审核，并经质量保证部批准。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仪器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保质期从确认验收的阶段就开始计算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，整机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保期为</w:t>
            </w:r>
            <w:r>
              <w:rPr>
                <w:rFonts w:hint="eastAsia" w:hAnsi="宋体"/>
                <w:szCs w:val="21"/>
                <w:u w:color="333333"/>
                <w:lang w:val="en-US" w:eastAsia="zh-CN"/>
              </w:rPr>
              <w:t>二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年，</w:t>
            </w:r>
            <w:r>
              <w:rPr>
                <w:rFonts w:hint="eastAsia" w:hAnsi="宋体"/>
                <w:szCs w:val="21"/>
                <w:u w:color="333333"/>
                <w:lang w:val="en-US" w:eastAsia="zh-CN"/>
              </w:rPr>
              <w:t>二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年内免费保修，</w:t>
            </w:r>
            <w:r>
              <w:rPr>
                <w:rFonts w:hint="eastAsia" w:hAnsi="宋体"/>
                <w:szCs w:val="21"/>
                <w:u w:color="333333"/>
                <w:lang w:val="en-US" w:eastAsia="zh-CN"/>
              </w:rPr>
              <w:t>二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年后应提供</w:t>
            </w:r>
            <w:r>
              <w:rPr>
                <w:rFonts w:hint="eastAsia" w:hAnsi="宋体"/>
                <w:b w:val="0"/>
                <w:bCs w:val="0"/>
                <w:szCs w:val="21"/>
                <w:u w:color="333333"/>
                <w:lang w:val="zh-TW" w:eastAsia="zh-CN"/>
              </w:rPr>
              <w:t>终生售后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服务。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售后服务必须响应及时，要求设备出现须厂家维修的故障后，应在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小时内明确答复，当电话沟通无法解决时，须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24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小时内派人至现场解决。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两年免费保修期后，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应终生提供及时的维修、维护，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应定期回访，解决设备运行当中可能出现的疑问，排除潜在故障，使设备保持良好工作状态。</w:t>
            </w:r>
            <w:bookmarkStart w:id="30" w:name="_GoBack"/>
            <w:bookmarkEnd w:id="30"/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应提供合格的备件，用于设备相应部件的维修、更换。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供应商进厂施工需遵守安全和施工规定。确认验收合格后，买卖双方签订验收报告。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pStyle w:val="53"/>
        <w:spacing w:before="0" w:line="360" w:lineRule="auto"/>
        <w:jc w:val="left"/>
        <w:rPr>
          <w:rFonts w:hAnsi="宋体"/>
          <w:sz w:val="21"/>
          <w:szCs w:val="21"/>
          <w:u w:color="333333"/>
          <w:lang w:val="zh-TW" w:eastAsia="zh-CN"/>
        </w:rPr>
      </w:pPr>
    </w:p>
    <w:sectPr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falt">
    <w:altName w:val="Microsoft JhengHei U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cs="Times New Roman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cs="Times New Roman"/>
      </w:rPr>
    </w:lvl>
  </w:abstractNum>
  <w:abstractNum w:abstractNumId="1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846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686546ED"/>
    <w:multiLevelType w:val="multilevel"/>
    <w:tmpl w:val="686546ED"/>
    <w:lvl w:ilvl="0" w:tentative="0">
      <w:start w:val="1"/>
      <w:numFmt w:val="decimal"/>
      <w:pStyle w:val="49"/>
      <w:lvlText w:val="%1)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ODRiODUxNWE4NWQ1ZmZiZTdmNzk2NzlkMTdhMDUifQ=="/>
  </w:docVars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2330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4B94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4F26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28C0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6F5B"/>
    <w:rsid w:val="00467AE6"/>
    <w:rsid w:val="00467EC9"/>
    <w:rsid w:val="0047089B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68C2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96B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3B1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1B5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3F7E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0D2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3736"/>
    <w:rsid w:val="006E4002"/>
    <w:rsid w:val="006E4DB6"/>
    <w:rsid w:val="006E622E"/>
    <w:rsid w:val="006E7938"/>
    <w:rsid w:val="006E79FB"/>
    <w:rsid w:val="006F229A"/>
    <w:rsid w:val="006F3BB9"/>
    <w:rsid w:val="006F4AA6"/>
    <w:rsid w:val="006F6CA3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37107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0D7"/>
    <w:rsid w:val="007B03B6"/>
    <w:rsid w:val="007B1257"/>
    <w:rsid w:val="007B21C0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04AD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1165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5320"/>
    <w:rsid w:val="009953CA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187"/>
    <w:rsid w:val="00A10713"/>
    <w:rsid w:val="00A1252C"/>
    <w:rsid w:val="00A13B8B"/>
    <w:rsid w:val="00A151B7"/>
    <w:rsid w:val="00A17FDD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0C9D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5BCA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8A6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66C1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A7A63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D6E71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5A3A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4DE3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5051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56E13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4AE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4E5C"/>
    <w:rsid w:val="00ED547D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02A8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006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1213318"/>
    <w:rsid w:val="044F0D6F"/>
    <w:rsid w:val="06582202"/>
    <w:rsid w:val="074B28A4"/>
    <w:rsid w:val="07823134"/>
    <w:rsid w:val="09E01037"/>
    <w:rsid w:val="0AD66CAE"/>
    <w:rsid w:val="0AE94B37"/>
    <w:rsid w:val="0C513E99"/>
    <w:rsid w:val="0D030185"/>
    <w:rsid w:val="0D4C7E82"/>
    <w:rsid w:val="0FAC6CD6"/>
    <w:rsid w:val="0FB67285"/>
    <w:rsid w:val="10C16EB7"/>
    <w:rsid w:val="13A31CD4"/>
    <w:rsid w:val="1477016C"/>
    <w:rsid w:val="149511CE"/>
    <w:rsid w:val="14F5622F"/>
    <w:rsid w:val="16DF591A"/>
    <w:rsid w:val="17D67D47"/>
    <w:rsid w:val="191A0E8B"/>
    <w:rsid w:val="1AA56983"/>
    <w:rsid w:val="1B0D17EF"/>
    <w:rsid w:val="1E0D2285"/>
    <w:rsid w:val="1F6B2440"/>
    <w:rsid w:val="211645C6"/>
    <w:rsid w:val="22231F38"/>
    <w:rsid w:val="223B4FDD"/>
    <w:rsid w:val="226517C9"/>
    <w:rsid w:val="23382585"/>
    <w:rsid w:val="290F3DA7"/>
    <w:rsid w:val="29F81F6F"/>
    <w:rsid w:val="2B0E3FF3"/>
    <w:rsid w:val="2C3B46E3"/>
    <w:rsid w:val="2CCB2770"/>
    <w:rsid w:val="2E4B2AA6"/>
    <w:rsid w:val="32534043"/>
    <w:rsid w:val="343C0DE9"/>
    <w:rsid w:val="344F14B0"/>
    <w:rsid w:val="365420B9"/>
    <w:rsid w:val="36C23BC9"/>
    <w:rsid w:val="3BD952C2"/>
    <w:rsid w:val="3CB63496"/>
    <w:rsid w:val="402A7270"/>
    <w:rsid w:val="41923405"/>
    <w:rsid w:val="44164DAE"/>
    <w:rsid w:val="45F50632"/>
    <w:rsid w:val="47E8188E"/>
    <w:rsid w:val="4B38501D"/>
    <w:rsid w:val="4B6A3906"/>
    <w:rsid w:val="4B8C7D94"/>
    <w:rsid w:val="4BB93DCD"/>
    <w:rsid w:val="4C03392E"/>
    <w:rsid w:val="4D8602C2"/>
    <w:rsid w:val="4DB57604"/>
    <w:rsid w:val="4E9C3B15"/>
    <w:rsid w:val="4F030A2B"/>
    <w:rsid w:val="4F7C2C0E"/>
    <w:rsid w:val="50E33DA8"/>
    <w:rsid w:val="527A551C"/>
    <w:rsid w:val="52E00474"/>
    <w:rsid w:val="55604C10"/>
    <w:rsid w:val="55F708FD"/>
    <w:rsid w:val="56145632"/>
    <w:rsid w:val="57B35854"/>
    <w:rsid w:val="59BD77C8"/>
    <w:rsid w:val="59E87DF0"/>
    <w:rsid w:val="5B4136EA"/>
    <w:rsid w:val="5B4F5173"/>
    <w:rsid w:val="5C7C23BF"/>
    <w:rsid w:val="5D7455FD"/>
    <w:rsid w:val="5E417F2A"/>
    <w:rsid w:val="633A681D"/>
    <w:rsid w:val="63A243D5"/>
    <w:rsid w:val="65FF54A6"/>
    <w:rsid w:val="67027CE4"/>
    <w:rsid w:val="677012EC"/>
    <w:rsid w:val="68A95260"/>
    <w:rsid w:val="69CD7327"/>
    <w:rsid w:val="69DF67AE"/>
    <w:rsid w:val="6A36659A"/>
    <w:rsid w:val="6D397612"/>
    <w:rsid w:val="6D7606D8"/>
    <w:rsid w:val="6E570C89"/>
    <w:rsid w:val="6E90591D"/>
    <w:rsid w:val="6E945F4C"/>
    <w:rsid w:val="6EB1405E"/>
    <w:rsid w:val="6EFF5252"/>
    <w:rsid w:val="733D5FA3"/>
    <w:rsid w:val="736633EF"/>
    <w:rsid w:val="767E2F22"/>
    <w:rsid w:val="773B25EF"/>
    <w:rsid w:val="77CA6A96"/>
    <w:rsid w:val="7CA16767"/>
    <w:rsid w:val="7D7053B2"/>
    <w:rsid w:val="7DDF3220"/>
    <w:rsid w:val="7F6F4201"/>
    <w:rsid w:val="7F9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link w:val="26"/>
    <w:autoRedefine/>
    <w:qFormat/>
    <w:uiPriority w:val="99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link w:val="27"/>
    <w:autoRedefine/>
    <w:qFormat/>
    <w:uiPriority w:val="99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link w:val="28"/>
    <w:autoRedefine/>
    <w:qFormat/>
    <w:uiPriority w:val="99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autoRedefine/>
    <w:semiHidden/>
    <w:qFormat/>
    <w:uiPriority w:val="99"/>
    <w:rPr>
      <w:sz w:val="24"/>
    </w:rPr>
  </w:style>
  <w:style w:type="paragraph" w:styleId="7">
    <w:name w:val="Body Text 3"/>
    <w:basedOn w:val="1"/>
    <w:link w:val="30"/>
    <w:autoRedefine/>
    <w:qFormat/>
    <w:uiPriority w:val="99"/>
    <w:pPr>
      <w:spacing w:after="120"/>
    </w:pPr>
    <w:rPr>
      <w:sz w:val="16"/>
      <w:szCs w:val="16"/>
    </w:rPr>
  </w:style>
  <w:style w:type="paragraph" w:styleId="8">
    <w:name w:val="Body Text"/>
    <w:basedOn w:val="1"/>
    <w:link w:val="31"/>
    <w:autoRedefine/>
    <w:qFormat/>
    <w:uiPriority w:val="99"/>
    <w:pPr>
      <w:ind w:right="56"/>
    </w:pPr>
    <w:rPr>
      <w:b/>
      <w:sz w:val="22"/>
    </w:rPr>
  </w:style>
  <w:style w:type="paragraph" w:styleId="9">
    <w:name w:val="Body Text Indent"/>
    <w:basedOn w:val="1"/>
    <w:link w:val="32"/>
    <w:autoRedefine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autoRedefine/>
    <w:qFormat/>
    <w:uiPriority w:val="9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link w:val="33"/>
    <w:autoRedefine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4"/>
    <w:autoRedefine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46"/>
    <w:autoRedefine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4">
    <w:name w:val="header"/>
    <w:basedOn w:val="1"/>
    <w:link w:val="36"/>
    <w:autoRedefine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5">
    <w:name w:val="toc 1"/>
    <w:basedOn w:val="1"/>
    <w:next w:val="1"/>
    <w:autoRedefine/>
    <w:qFormat/>
    <w:uiPriority w:val="9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autoRedefine/>
    <w:qFormat/>
    <w:uiPriority w:val="9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kern w:val="2"/>
      <w:lang w:val="en-US" w:eastAsia="zh-CN"/>
    </w:rPr>
  </w:style>
  <w:style w:type="paragraph" w:styleId="17">
    <w:name w:val="Title"/>
    <w:basedOn w:val="1"/>
    <w:next w:val="1"/>
    <w:link w:val="37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link w:val="38"/>
    <w:autoRedefine/>
    <w:semiHidden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9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99"/>
    <w:rPr>
      <w:rFonts w:cs="Times New Roman"/>
    </w:rPr>
  </w:style>
  <w:style w:type="character" w:styleId="23">
    <w:name w:val="Hyperlink"/>
    <w:basedOn w:val="21"/>
    <w:autoRedefine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autoRedefine/>
    <w:semiHidden/>
    <w:qFormat/>
    <w:uiPriority w:val="99"/>
    <w:rPr>
      <w:rFonts w:cs="Times New Roman"/>
      <w:sz w:val="21"/>
    </w:rPr>
  </w:style>
  <w:style w:type="character" w:customStyle="1" w:styleId="25">
    <w:name w:val="标题 1 字符"/>
    <w:basedOn w:val="21"/>
    <w:link w:val="2"/>
    <w:autoRedefine/>
    <w:qFormat/>
    <w:uiPriority w:val="9"/>
    <w:rPr>
      <w:b/>
      <w:bCs/>
      <w:kern w:val="44"/>
      <w:sz w:val="44"/>
      <w:szCs w:val="44"/>
      <w:lang w:val="en-GB" w:eastAsia="en-US"/>
    </w:rPr>
  </w:style>
  <w:style w:type="character" w:customStyle="1" w:styleId="26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en-GB" w:eastAsia="en-US"/>
    </w:rPr>
  </w:style>
  <w:style w:type="character" w:customStyle="1" w:styleId="27">
    <w:name w:val="标题 3 字符"/>
    <w:basedOn w:val="21"/>
    <w:link w:val="4"/>
    <w:autoRedefine/>
    <w:semiHidden/>
    <w:qFormat/>
    <w:uiPriority w:val="9"/>
    <w:rPr>
      <w:b/>
      <w:bCs/>
      <w:kern w:val="0"/>
      <w:sz w:val="32"/>
      <w:szCs w:val="32"/>
      <w:lang w:val="en-GB" w:eastAsia="en-US"/>
    </w:rPr>
  </w:style>
  <w:style w:type="character" w:customStyle="1" w:styleId="28">
    <w:name w:val="标题 4 字符"/>
    <w:basedOn w:val="21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val="en-GB" w:eastAsia="en-US"/>
    </w:rPr>
  </w:style>
  <w:style w:type="character" w:customStyle="1" w:styleId="29">
    <w:name w:val="批注文字 字符"/>
    <w:basedOn w:val="21"/>
    <w:link w:val="6"/>
    <w:autoRedefine/>
    <w:semiHidden/>
    <w:qFormat/>
    <w:locked/>
    <w:uiPriority w:val="99"/>
    <w:rPr>
      <w:sz w:val="24"/>
      <w:lang w:val="en-GB" w:eastAsia="en-US"/>
    </w:rPr>
  </w:style>
  <w:style w:type="character" w:customStyle="1" w:styleId="30">
    <w:name w:val="正文文本 3 字符"/>
    <w:basedOn w:val="21"/>
    <w:link w:val="7"/>
    <w:autoRedefine/>
    <w:semiHidden/>
    <w:qFormat/>
    <w:uiPriority w:val="99"/>
    <w:rPr>
      <w:kern w:val="0"/>
      <w:sz w:val="16"/>
      <w:szCs w:val="16"/>
      <w:lang w:val="en-GB" w:eastAsia="en-US"/>
    </w:rPr>
  </w:style>
  <w:style w:type="character" w:customStyle="1" w:styleId="31">
    <w:name w:val="正文文本 字符"/>
    <w:basedOn w:val="21"/>
    <w:link w:val="8"/>
    <w:autoRedefine/>
    <w:semiHidden/>
    <w:qFormat/>
    <w:uiPriority w:val="99"/>
    <w:rPr>
      <w:kern w:val="0"/>
      <w:szCs w:val="20"/>
      <w:lang w:val="en-GB" w:eastAsia="en-US"/>
    </w:rPr>
  </w:style>
  <w:style w:type="character" w:customStyle="1" w:styleId="32">
    <w:name w:val="正文文本缩进 字符"/>
    <w:basedOn w:val="21"/>
    <w:link w:val="9"/>
    <w:autoRedefine/>
    <w:semiHidden/>
    <w:qFormat/>
    <w:uiPriority w:val="99"/>
    <w:rPr>
      <w:kern w:val="0"/>
      <w:szCs w:val="20"/>
      <w:lang w:val="en-GB" w:eastAsia="en-US"/>
    </w:rPr>
  </w:style>
  <w:style w:type="character" w:customStyle="1" w:styleId="33">
    <w:name w:val="正文文本缩进 2 字符"/>
    <w:basedOn w:val="21"/>
    <w:link w:val="11"/>
    <w:autoRedefine/>
    <w:semiHidden/>
    <w:qFormat/>
    <w:uiPriority w:val="99"/>
    <w:rPr>
      <w:kern w:val="0"/>
      <w:szCs w:val="20"/>
      <w:lang w:val="en-GB" w:eastAsia="en-US"/>
    </w:rPr>
  </w:style>
  <w:style w:type="character" w:customStyle="1" w:styleId="34">
    <w:name w:val="批注框文本 字符"/>
    <w:basedOn w:val="21"/>
    <w:link w:val="12"/>
    <w:autoRedefine/>
    <w:semiHidden/>
    <w:qFormat/>
    <w:uiPriority w:val="99"/>
    <w:rPr>
      <w:kern w:val="0"/>
      <w:sz w:val="0"/>
      <w:szCs w:val="0"/>
      <w:lang w:val="en-GB" w:eastAsia="en-US"/>
    </w:rPr>
  </w:style>
  <w:style w:type="character" w:customStyle="1" w:styleId="35">
    <w:name w:val="Footer Char"/>
    <w:basedOn w:val="21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页眉 字符"/>
    <w:basedOn w:val="21"/>
    <w:link w:val="14"/>
    <w:autoRedefine/>
    <w:qFormat/>
    <w:locked/>
    <w:uiPriority w:val="99"/>
    <w:rPr>
      <w:rFonts w:eastAsia="宋体"/>
      <w:sz w:val="24"/>
      <w:lang w:val="en-GB" w:eastAsia="en-US"/>
    </w:rPr>
  </w:style>
  <w:style w:type="character" w:customStyle="1" w:styleId="37">
    <w:name w:val="标题 字符"/>
    <w:basedOn w:val="21"/>
    <w:link w:val="17"/>
    <w:autoRedefine/>
    <w:qFormat/>
    <w:locked/>
    <w:uiPriority w:val="99"/>
    <w:rPr>
      <w:rFonts w:ascii="Calibri Light" w:hAnsi="Calibri Light"/>
      <w:b/>
      <w:sz w:val="32"/>
      <w:lang w:val="en-GB" w:eastAsia="en-US"/>
    </w:rPr>
  </w:style>
  <w:style w:type="character" w:customStyle="1" w:styleId="38">
    <w:name w:val="批注主题 字符"/>
    <w:basedOn w:val="29"/>
    <w:link w:val="18"/>
    <w:autoRedefine/>
    <w:semiHidden/>
    <w:qFormat/>
    <w:uiPriority w:val="99"/>
    <w:rPr>
      <w:b/>
      <w:bCs/>
      <w:kern w:val="0"/>
      <w:sz w:val="24"/>
      <w:szCs w:val="20"/>
      <w:lang w:val="en-GB" w:eastAsia="en-US"/>
    </w:rPr>
  </w:style>
  <w:style w:type="paragraph" w:customStyle="1" w:styleId="39">
    <w:name w:val="Table"/>
    <w:basedOn w:val="1"/>
    <w:autoRedefine/>
    <w:qFormat/>
    <w:uiPriority w:val="99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40">
    <w:name w:val="Default Text"/>
    <w:basedOn w:val="1"/>
    <w:autoRedefine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1">
    <w:name w:val="Style"/>
    <w:basedOn w:val="1"/>
    <w:autoRedefine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2">
    <w:name w:val="正文1"/>
    <w:basedOn w:val="1"/>
    <w:autoRedefine/>
    <w:qFormat/>
    <w:uiPriority w:val="99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43">
    <w:name w:val="Revision1"/>
    <w:autoRedefine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44">
    <w:name w:val="List Paragraph"/>
    <w:basedOn w:val="1"/>
    <w:autoRedefine/>
    <w:qFormat/>
    <w:uiPriority w:val="99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45">
    <w:name w:val="TOC Heading1"/>
    <w:basedOn w:val="2"/>
    <w:next w:val="1"/>
    <w:autoRedefine/>
    <w:qFormat/>
    <w:uiPriority w:val="99"/>
    <w:pPr>
      <w:numPr>
        <w:numId w:val="0"/>
      </w:numPr>
      <w:outlineLvl w:val="9"/>
    </w:pPr>
  </w:style>
  <w:style w:type="character" w:customStyle="1" w:styleId="46">
    <w:name w:val="页脚 字符"/>
    <w:link w:val="13"/>
    <w:autoRedefine/>
    <w:qFormat/>
    <w:locked/>
    <w:uiPriority w:val="99"/>
    <w:rPr>
      <w:sz w:val="24"/>
      <w:lang w:val="en-GB" w:eastAsia="en-US"/>
    </w:rPr>
  </w:style>
  <w:style w:type="character" w:customStyle="1" w:styleId="47">
    <w:name w:val="instruction standard blue"/>
    <w:qFormat/>
    <w:uiPriority w:val="99"/>
    <w:rPr>
      <w:i/>
      <w:color w:val="0070C0"/>
    </w:rPr>
  </w:style>
  <w:style w:type="character" w:customStyle="1" w:styleId="48">
    <w:name w:val="keyword"/>
    <w:basedOn w:val="21"/>
    <w:qFormat/>
    <w:uiPriority w:val="99"/>
    <w:rPr>
      <w:rFonts w:cs="Times New Roman"/>
    </w:rPr>
  </w:style>
  <w:style w:type="paragraph" w:customStyle="1" w:styleId="49">
    <w:name w:val="numbering blue"/>
    <w:basedOn w:val="1"/>
    <w:link w:val="50"/>
    <w:qFormat/>
    <w:uiPriority w:val="99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falt"/>
      <w:color w:val="0070C0"/>
      <w:sz w:val="20"/>
      <w:lang w:val="en-US" w:eastAsia="zh-TW"/>
    </w:rPr>
  </w:style>
  <w:style w:type="character" w:customStyle="1" w:styleId="50">
    <w:name w:val="numbering blue Zchn"/>
    <w:link w:val="49"/>
    <w:qFormat/>
    <w:locked/>
    <w:uiPriority w:val="99"/>
    <w:rPr>
      <w:rFonts w:ascii="Arial" w:hAnsi="Arial" w:eastAsia="PMingLiUfalt"/>
      <w:color w:val="0070C0"/>
      <w:lang w:eastAsia="zh-TW"/>
    </w:rPr>
  </w:style>
  <w:style w:type="paragraph" w:customStyle="1" w:styleId="51">
    <w:name w:val="Default"/>
    <w:qFormat/>
    <w:uiPriority w:val="99"/>
    <w:pPr>
      <w:widowControl w:val="0"/>
      <w:autoSpaceDE w:val="0"/>
      <w:autoSpaceDN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52">
    <w:name w:val="Text Char"/>
    <w:link w:val="53"/>
    <w:qFormat/>
    <w:locked/>
    <w:uiPriority w:val="99"/>
    <w:rPr>
      <w:sz w:val="24"/>
      <w:lang w:eastAsia="en-US"/>
    </w:rPr>
  </w:style>
  <w:style w:type="paragraph" w:customStyle="1" w:styleId="53">
    <w:name w:val="Text"/>
    <w:basedOn w:val="1"/>
    <w:link w:val="52"/>
    <w:qFormat/>
    <w:uiPriority w:val="99"/>
    <w:pPr>
      <w:overflowPunct/>
      <w:autoSpaceDE/>
      <w:autoSpaceDN/>
      <w:adjustRightInd/>
      <w:spacing w:before="120"/>
      <w:jc w:val="both"/>
      <w:textAlignment w:val="auto"/>
    </w:pPr>
    <w:rPr>
      <w:sz w:val="24"/>
      <w:lang w:val="en-US"/>
    </w:rPr>
  </w:style>
  <w:style w:type="character" w:customStyle="1" w:styleId="54">
    <w:name w:val="ordinary-span-edit2"/>
    <w:qFormat/>
    <w:uiPriority w:val="99"/>
  </w:style>
  <w:style w:type="character" w:customStyle="1" w:styleId="55">
    <w:name w:val="apple-converted-space"/>
    <w:basedOn w:val="21"/>
    <w:qFormat/>
    <w:uiPriority w:val="99"/>
    <w:rPr>
      <w:rFonts w:cs="Times New Roman"/>
    </w:rPr>
  </w:style>
  <w:style w:type="paragraph" w:customStyle="1" w:styleId="56">
    <w:name w:val="Table text"/>
    <w:basedOn w:val="1"/>
    <w:qFormat/>
    <w:uiPriority w:val="99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7</Pages>
  <Words>607</Words>
  <Characters>3462</Characters>
  <Lines>28</Lines>
  <Paragraphs>8</Paragraphs>
  <TotalTime>6</TotalTime>
  <ScaleCrop>false</ScaleCrop>
  <LinksUpToDate>false</LinksUpToDate>
  <CharactersWithSpaces>4061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2020-12-03T05:47:00Z</dcterms:created>
  <dc:creator>Lilly</dc:creator>
  <cp:lastModifiedBy>WPS_1627192026</cp:lastModifiedBy>
  <cp:lastPrinted>2019-04-10T00:58:00Z</cp:lastPrinted>
  <dcterms:modified xsi:type="dcterms:W3CDTF">2023-12-14T07:50:40Z</dcterms:modified>
  <dc:title>生效期：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8C4BD49DB7FB40DA9F70DEA8FF11EE89_13</vt:lpwstr>
  </property>
</Properties>
</file>