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7E86" w:rsidRPr="004E7E86" w:rsidRDefault="004E7E86" w:rsidP="004E7E86">
      <w:pPr>
        <w:ind w:firstLineChars="100" w:firstLine="440"/>
        <w:rPr>
          <w:rFonts w:ascii="方正小标宋_GBK" w:eastAsia="方正小标宋_GBK" w:hAnsi="方正小标宋_GBK" w:hint="eastAsia"/>
          <w:sz w:val="44"/>
          <w:szCs w:val="44"/>
        </w:rPr>
      </w:pPr>
      <w:bookmarkStart w:id="0" w:name="_Hlk165031479"/>
      <w:bookmarkStart w:id="1" w:name="_Hlk161045416"/>
      <w:r w:rsidRPr="004E7E86">
        <w:rPr>
          <w:rFonts w:ascii="方正小标宋_GBK" w:eastAsia="方正小标宋_GBK" w:hAnsi="方正小标宋_GBK" w:hint="eastAsia"/>
          <w:sz w:val="44"/>
          <w:szCs w:val="44"/>
        </w:rPr>
        <w:t>国药动保九龙基地水系统</w:t>
      </w:r>
      <w:r w:rsidR="00C9280E" w:rsidRPr="004E7E86">
        <w:rPr>
          <w:rFonts w:ascii="方正小标宋_GBK" w:eastAsia="方正小标宋_GBK" w:hAnsi="方正小标宋_GBK" w:hint="eastAsia"/>
          <w:sz w:val="44"/>
          <w:szCs w:val="44"/>
        </w:rPr>
        <w:t>年度维保项目</w:t>
      </w:r>
    </w:p>
    <w:p w:rsidR="00C9280E" w:rsidRPr="004E7E86" w:rsidRDefault="00C9280E" w:rsidP="004E7E86">
      <w:pPr>
        <w:ind w:firstLineChars="600" w:firstLine="2640"/>
        <w:rPr>
          <w:rFonts w:ascii="方正小标宋_GBK" w:eastAsia="方正小标宋_GBK" w:hAnsi="方正小标宋_GBK" w:hint="eastAsia"/>
          <w:sz w:val="44"/>
          <w:szCs w:val="44"/>
        </w:rPr>
      </w:pPr>
      <w:r w:rsidRPr="004E7E86">
        <w:rPr>
          <w:rFonts w:ascii="方正小标宋_GBK" w:eastAsia="方正小标宋_GBK" w:hAnsi="方正小标宋_GBK" w:hint="eastAsia"/>
          <w:sz w:val="44"/>
          <w:szCs w:val="44"/>
        </w:rPr>
        <w:t>用户需求URS</w:t>
      </w:r>
    </w:p>
    <w:bookmarkEnd w:id="0"/>
    <w:bookmarkEnd w:id="1"/>
    <w:p w:rsidR="00524CA8" w:rsidRPr="00524CA8" w:rsidRDefault="00524CA8" w:rsidP="00524CA8">
      <w:pPr>
        <w:widowControl/>
        <w:shd w:val="clear" w:color="auto" w:fill="FFFFFF"/>
        <w:spacing w:before="75" w:after="330" w:line="240" w:lineRule="auto"/>
        <w:contextualSpacing/>
        <w:mirrorIndents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一、项目名称：国药动保水系统</w:t>
      </w:r>
      <w:r w:rsidR="00083BEA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EDI改造</w:t>
      </w: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项目。</w:t>
      </w:r>
    </w:p>
    <w:p w:rsidR="00524CA8" w:rsidRPr="00524CA8" w:rsidRDefault="00524CA8" w:rsidP="00524CA8">
      <w:pPr>
        <w:widowControl/>
        <w:shd w:val="clear" w:color="auto" w:fill="FFFFFF"/>
        <w:spacing w:before="75" w:after="330" w:line="240" w:lineRule="auto"/>
        <w:contextualSpacing/>
        <w:mirrorIndents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二、项目地址：国药集团动物保健股份有限公司光谷九龙基地。</w:t>
      </w:r>
    </w:p>
    <w:p w:rsidR="00524CA8" w:rsidRPr="00524CA8" w:rsidRDefault="00524CA8" w:rsidP="00524CA8">
      <w:pPr>
        <w:widowControl/>
        <w:shd w:val="clear" w:color="auto" w:fill="FFFFFF"/>
        <w:spacing w:before="75" w:after="330" w:line="240" w:lineRule="auto"/>
        <w:contextualSpacing/>
        <w:mirrorIndents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三、项目目的：通过专业的水系统</w:t>
      </w:r>
      <w:r w:rsidR="00083BEA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EDI改造</w:t>
      </w: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，使公司</w:t>
      </w:r>
      <w:r w:rsidR="00083BEA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纯化水</w:t>
      </w: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符合兽药GMP质量标准，</w:t>
      </w:r>
      <w:r w:rsidR="00083BEA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电导率到达</w:t>
      </w:r>
      <w:r w:rsidR="00083BEA" w:rsidRPr="00524CA8">
        <w:rPr>
          <w:rFonts w:ascii="宋体" w:eastAsia="宋体" w:hAnsi="宋体" w:cs="宋体"/>
          <w:color w:val="383838"/>
          <w:kern w:val="0"/>
          <w:sz w:val="28"/>
          <w:szCs w:val="28"/>
          <w14:ligatures w14:val="none"/>
        </w:rPr>
        <w:t>0.0</w:t>
      </w:r>
      <w:r w:rsidR="00083BEA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6</w:t>
      </w:r>
      <w:r w:rsidR="00083BEA" w:rsidRPr="00524CA8">
        <w:rPr>
          <w:rFonts w:ascii="宋体" w:eastAsia="宋体" w:hAnsi="宋体" w:cs="宋体"/>
          <w:color w:val="383838"/>
          <w:kern w:val="0"/>
          <w:sz w:val="28"/>
          <w:szCs w:val="28"/>
          <w14:ligatures w14:val="none"/>
        </w:rPr>
        <w:t>us/cm</w:t>
      </w:r>
      <w:r w:rsidR="00083BEA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，满足生产及检验要求。</w:t>
      </w:r>
    </w:p>
    <w:p w:rsidR="00C65802" w:rsidRDefault="00524CA8" w:rsidP="00524CA8">
      <w:pPr>
        <w:widowControl/>
        <w:shd w:val="clear" w:color="auto" w:fill="FFFFFF"/>
        <w:spacing w:before="75" w:after="330" w:line="240" w:lineRule="auto"/>
        <w:contextualSpacing/>
        <w:mirrorIndents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四、项目依据：</w:t>
      </w:r>
      <w:r w:rsidRPr="00524CA8">
        <w:rPr>
          <w:rFonts w:ascii="宋体" w:eastAsia="宋体" w:hAnsi="宋体" w:cs="宋体"/>
          <w:color w:val="383838"/>
          <w:kern w:val="0"/>
          <w:sz w:val="28"/>
          <w:szCs w:val="28"/>
          <w14:ligatures w14:val="none"/>
        </w:rPr>
        <w:t>CFM-00</w:t>
      </w: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6</w:t>
      </w:r>
      <w:r w:rsidRPr="00524CA8">
        <w:rPr>
          <w:rFonts w:ascii="宋体" w:eastAsia="宋体" w:hAnsi="宋体" w:cs="宋体"/>
          <w:color w:val="383838"/>
          <w:kern w:val="0"/>
          <w:sz w:val="28"/>
          <w:szCs w:val="28"/>
          <w14:ligatures w14:val="none"/>
        </w:rPr>
        <w:t>-0</w:t>
      </w: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4工艺用水管理制度；</w:t>
      </w:r>
      <w:r w:rsidRPr="00524CA8">
        <w:rPr>
          <w:rFonts w:ascii="宋体" w:eastAsia="宋体" w:hAnsi="宋体" w:cs="宋体"/>
          <w:color w:val="383838"/>
          <w:kern w:val="0"/>
          <w:sz w:val="28"/>
          <w:szCs w:val="28"/>
          <w14:ligatures w14:val="none"/>
        </w:rPr>
        <w:t>SBO-2013-00纯化水制取设备维护保养程序</w:t>
      </w: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；</w:t>
      </w:r>
      <w:r w:rsidRPr="00524CA8">
        <w:rPr>
          <w:rFonts w:ascii="宋体" w:eastAsia="宋体" w:hAnsi="宋体" w:cs="宋体"/>
          <w:color w:val="383838"/>
          <w:kern w:val="0"/>
          <w:sz w:val="28"/>
          <w:szCs w:val="28"/>
          <w14:ligatures w14:val="none"/>
        </w:rPr>
        <w:t>SBO-2014-00纯化水、注射用水分配系统维护保养程序</w:t>
      </w:r>
      <w:r w:rsidR="00C65802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。</w:t>
      </w:r>
    </w:p>
    <w:p w:rsidR="00524CA8" w:rsidRPr="00524CA8" w:rsidRDefault="00524CA8" w:rsidP="00524CA8">
      <w:pPr>
        <w:widowControl/>
        <w:shd w:val="clear" w:color="auto" w:fill="FFFFFF"/>
        <w:spacing w:before="75" w:after="330" w:line="240" w:lineRule="auto"/>
        <w:contextualSpacing/>
        <w:mirrorIndents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>五、项目需求：</w:t>
      </w:r>
    </w:p>
    <w:p w:rsidR="00524CA8" w:rsidRPr="00524CA8" w:rsidRDefault="00524CA8" w:rsidP="00524CA8">
      <w:pPr>
        <w:widowControl/>
        <w:shd w:val="clear" w:color="auto" w:fill="FFFFFF"/>
        <w:spacing w:after="0" w:line="240" w:lineRule="auto"/>
        <w:contextualSpacing/>
        <w:mirrorIndents/>
        <w:textAlignment w:val="baseline"/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Calibri"/>
          <w:color w:val="383838"/>
          <w:kern w:val="0"/>
          <w:sz w:val="28"/>
          <w:szCs w:val="28"/>
          <w14:ligatures w14:val="none"/>
        </w:rPr>
        <w:t>1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、运行保障部提供</w:t>
      </w:r>
      <w:r w:rsidR="00083BEA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改造图纸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及</w:t>
      </w:r>
      <w:r w:rsidR="00083BEA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改造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项目</w:t>
      </w:r>
      <w:r w:rsidR="00083BEA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材料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清单</w:t>
      </w:r>
      <w:r w:rsidR="00083BEA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，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承包商根据图纸及清单，提供项目材料</w:t>
      </w:r>
      <w:r w:rsidR="00083BEA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清单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报价</w:t>
      </w:r>
      <w:r w:rsidRPr="00524CA8">
        <w:rPr>
          <w:rFonts w:ascii="宋体" w:eastAsia="宋体" w:hAnsi="宋体" w:cs="Calibri"/>
          <w:color w:val="383838"/>
          <w:kern w:val="0"/>
          <w:sz w:val="28"/>
          <w:szCs w:val="28"/>
          <w14:ligatures w14:val="none"/>
        </w:rPr>
        <w:t>。</w:t>
      </w:r>
    </w:p>
    <w:p w:rsidR="00524CA8" w:rsidRPr="00524CA8" w:rsidRDefault="00524CA8" w:rsidP="00524CA8">
      <w:pPr>
        <w:widowControl/>
        <w:shd w:val="clear" w:color="auto" w:fill="FFFFFF"/>
        <w:spacing w:after="0" w:line="240" w:lineRule="auto"/>
        <w:contextualSpacing/>
        <w:mirrorIndents/>
        <w:textAlignment w:val="baseline"/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2、</w:t>
      </w:r>
      <w:r w:rsidRPr="00524CA8">
        <w:rPr>
          <w:rFonts w:ascii="宋体" w:eastAsia="宋体" w:hAnsi="宋体" w:cs="Calibri"/>
          <w:color w:val="383838"/>
          <w:kern w:val="0"/>
          <w:sz w:val="28"/>
          <w:szCs w:val="28"/>
          <w14:ligatures w14:val="none"/>
        </w:rPr>
        <w:t>本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项目</w:t>
      </w:r>
      <w:r w:rsidRPr="00524CA8">
        <w:rPr>
          <w:rFonts w:ascii="宋体" w:eastAsia="宋体" w:hAnsi="宋体" w:cs="Calibri"/>
          <w:color w:val="383838"/>
          <w:kern w:val="0"/>
          <w:sz w:val="28"/>
          <w:szCs w:val="28"/>
          <w14:ligatures w14:val="none"/>
        </w:rPr>
        <w:t>施工应符合以下国家相关规范、规定及标准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840"/>
        <w:gridCol w:w="7519"/>
      </w:tblGrid>
      <w:tr w:rsidR="00524CA8" w:rsidRPr="00524CA8" w:rsidTr="00F51462">
        <w:trPr>
          <w:trHeight w:val="3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ind w:firstLineChars="900" w:firstLine="2520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法规</w:t>
            </w:r>
          </w:p>
        </w:tc>
      </w:tr>
      <w:tr w:rsidR="00524CA8" w:rsidRPr="00524CA8" w:rsidTr="00F51462">
        <w:trPr>
          <w:trHeight w:val="3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ind w:firstLineChars="100" w:firstLine="280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中华人民共和国兽药管理条例</w:t>
            </w:r>
          </w:p>
        </w:tc>
      </w:tr>
      <w:tr w:rsidR="00524CA8" w:rsidRPr="00524CA8" w:rsidTr="00F51462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《兽药生产质量管理规范》（GMP） 2020版</w:t>
            </w:r>
          </w:p>
        </w:tc>
      </w:tr>
      <w:tr w:rsidR="00524CA8" w:rsidRPr="00524CA8" w:rsidTr="00F51462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生活饮用水卫生标准（GB5749-85）</w:t>
            </w:r>
          </w:p>
        </w:tc>
      </w:tr>
      <w:tr w:rsidR="00524CA8" w:rsidRPr="00524CA8" w:rsidTr="00F51462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中国兽药典（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2020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版）</w:t>
            </w:r>
          </w:p>
        </w:tc>
      </w:tr>
      <w:tr w:rsidR="00524CA8" w:rsidRPr="00524CA8" w:rsidTr="00F51462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水处理设备技术条件（JB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-T2932-99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）</w:t>
            </w:r>
          </w:p>
        </w:tc>
      </w:tr>
      <w:tr w:rsidR="00524CA8" w:rsidRPr="00524CA8" w:rsidTr="00F51462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lastRenderedPageBreak/>
              <w:t>6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工业用水处理设备质量验收（DL5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43-94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）</w:t>
            </w:r>
          </w:p>
        </w:tc>
      </w:tr>
      <w:tr w:rsidR="00524CA8" w:rsidRPr="00524CA8" w:rsidTr="00F51462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通用用电设备配电设计规范（GB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50055-93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）</w:t>
            </w:r>
          </w:p>
        </w:tc>
      </w:tr>
    </w:tbl>
    <w:p w:rsidR="00524CA8" w:rsidRPr="00524CA8" w:rsidRDefault="00524CA8" w:rsidP="00524CA8">
      <w:pPr>
        <w:widowControl/>
        <w:shd w:val="clear" w:color="auto" w:fill="FFFFFF"/>
        <w:spacing w:after="0" w:line="240" w:lineRule="auto"/>
        <w:contextualSpacing/>
        <w:mirrorIndents/>
        <w:textAlignment w:val="baseline"/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3、项目</w:t>
      </w:r>
      <w:r w:rsidRPr="00524CA8">
        <w:rPr>
          <w:rFonts w:ascii="宋体" w:eastAsia="宋体" w:hAnsi="宋体" w:cs="Calibri"/>
          <w:color w:val="383838"/>
          <w:kern w:val="0"/>
          <w:sz w:val="28"/>
          <w:szCs w:val="28"/>
          <w14:ligatures w14:val="none"/>
        </w:rPr>
        <w:t>材料及施工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需求：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916"/>
        <w:gridCol w:w="6450"/>
        <w:gridCol w:w="993"/>
      </w:tblGrid>
      <w:tr w:rsidR="00524CA8" w:rsidRPr="00524CA8" w:rsidTr="00F51462">
        <w:trPr>
          <w:trHeight w:val="7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ind w:firstLineChars="900" w:firstLine="2520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需 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必需/期望</w:t>
            </w:r>
          </w:p>
        </w:tc>
      </w:tr>
      <w:tr w:rsidR="00524CA8" w:rsidRPr="00524CA8" w:rsidTr="00F51462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所使用</w:t>
            </w:r>
            <w:r w:rsidR="00083BEA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改造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材料需与现场一致，注明品牌型号，并提供产品合格证</w:t>
            </w:r>
            <w:r w:rsidR="00247BEA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F51462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仪器仪表材质与精度必须符合整体系统及相关法律法规。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F51462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A55AA2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项目所供仪表、阀门、EDI设备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质保</w:t>
            </w:r>
            <w:r w:rsidR="00524CA8"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1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年，自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项目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完成试车验收日起，质保期内所更换的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清单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材料损坏需无条件免费更换。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F51462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维保涉及的进口材料、配件，</w:t>
            </w:r>
            <w:r w:rsidR="00A55AA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承包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单位需要备货，供我方紧急使用。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F51462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维保材料首选原配件，如因特殊原因需要更换，必须达到或高于原配件质量，需我方同意。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F51462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A55AA2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承包单位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施工前需我方现场对材料进行复核，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改造工作需在我方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监督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下进行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F51462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A55AA2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需要停机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改造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的项目，例如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焊接管道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，需要在夜间进行，以免影响白天正常生产用水。施工结束后负责清理现场的施工垃圾，保证现场卫生要求。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</w:tbl>
    <w:p w:rsidR="00524CA8" w:rsidRDefault="00524CA8" w:rsidP="00524CA8">
      <w:pPr>
        <w:widowControl/>
        <w:shd w:val="clear" w:color="auto" w:fill="FFFFFF"/>
        <w:spacing w:after="0" w:line="240" w:lineRule="auto"/>
        <w:contextualSpacing/>
        <w:mirrorIndents/>
        <w:textAlignment w:val="baseline"/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Calibri"/>
          <w:color w:val="383838"/>
          <w:kern w:val="0"/>
          <w:sz w:val="28"/>
          <w:szCs w:val="28"/>
          <w14:ligatures w14:val="none"/>
        </w:rPr>
        <w:lastRenderedPageBreak/>
        <w:t>4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、</w:t>
      </w:r>
      <w:r w:rsidR="00E6055C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技术</w:t>
      </w:r>
      <w:r w:rsidRPr="00524CA8"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需</w:t>
      </w:r>
      <w:r w:rsidRPr="00524CA8">
        <w:rPr>
          <w:rFonts w:ascii="宋体" w:eastAsia="宋体" w:hAnsi="宋体" w:cs="Calibri"/>
          <w:color w:val="383838"/>
          <w:kern w:val="0"/>
          <w:sz w:val="28"/>
          <w:szCs w:val="28"/>
          <w14:ligatures w14:val="none"/>
        </w:rPr>
        <w:t>求：</w:t>
      </w:r>
    </w:p>
    <w:tbl>
      <w:tblPr>
        <w:tblStyle w:val="af0"/>
        <w:tblW w:w="8359" w:type="dxa"/>
        <w:tblLook w:val="04A0" w:firstRow="1" w:lastRow="0" w:firstColumn="1" w:lastColumn="0" w:noHBand="0" w:noVBand="1"/>
      </w:tblPr>
      <w:tblGrid>
        <w:gridCol w:w="988"/>
        <w:gridCol w:w="6378"/>
        <w:gridCol w:w="993"/>
      </w:tblGrid>
      <w:tr w:rsidR="00A55AA2" w:rsidTr="00D76E72">
        <w:tc>
          <w:tcPr>
            <w:tcW w:w="98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37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  <w:t>EDI设备为国产头部产品，正常使用期限5-8年，产水电导率达到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0.0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6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us/cm</w:t>
            </w:r>
            <w:r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  <w:t>。</w:t>
            </w:r>
          </w:p>
        </w:tc>
        <w:tc>
          <w:tcPr>
            <w:tcW w:w="993" w:type="dxa"/>
          </w:tcPr>
          <w:p w:rsidR="00A55AA2" w:rsidRPr="00524CA8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A55AA2" w:rsidTr="00D76E72">
        <w:tc>
          <w:tcPr>
            <w:tcW w:w="98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37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  <w:t>修改</w:t>
            </w:r>
            <w:r w:rsidR="007C127D"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  <w:t>水系统</w:t>
            </w:r>
            <w:r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  <w:t>程序，检查PID参数是否正常，</w:t>
            </w:r>
            <w:r w:rsidR="007C127D"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  <w:t>对水系统程序进行优化。</w:t>
            </w:r>
            <w:r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993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A55AA2" w:rsidTr="00D76E72">
        <w:tc>
          <w:tcPr>
            <w:tcW w:w="98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637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  <w:t>校正在线监测传感器（包括温度、电导率、压力），检测电流阻值是否符合要求。</w:t>
            </w:r>
          </w:p>
        </w:tc>
        <w:tc>
          <w:tcPr>
            <w:tcW w:w="993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A55AA2" w:rsidTr="00D76E72">
        <w:tc>
          <w:tcPr>
            <w:tcW w:w="98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37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检查测量电脑控制板，检查设备通讯线缆数据传输是否正常。</w:t>
            </w:r>
          </w:p>
        </w:tc>
        <w:tc>
          <w:tcPr>
            <w:tcW w:w="993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A55AA2" w:rsidTr="00D76E72">
        <w:tc>
          <w:tcPr>
            <w:tcW w:w="98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37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检测电气系统各部件的工作情况，包括各电器元件、开关、变送器、变频器等部件参数是否符合要求。</w:t>
            </w:r>
          </w:p>
        </w:tc>
        <w:tc>
          <w:tcPr>
            <w:tcW w:w="993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A55AA2" w:rsidTr="00D76E72">
        <w:tc>
          <w:tcPr>
            <w:tcW w:w="988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378" w:type="dxa"/>
          </w:tcPr>
          <w:p w:rsidR="00A55AA2" w:rsidRDefault="007C127D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  <w:t>更换反渗透2#机膜壳、压力传感器、电导率控制器，保障停机设备完整性。</w:t>
            </w:r>
          </w:p>
        </w:tc>
        <w:tc>
          <w:tcPr>
            <w:tcW w:w="993" w:type="dxa"/>
          </w:tcPr>
          <w:p w:rsidR="00A55AA2" w:rsidRDefault="00A55AA2" w:rsidP="00A55AA2">
            <w:pPr>
              <w:widowControl/>
              <w:spacing w:after="0" w:line="240" w:lineRule="auto"/>
              <w:contextualSpacing/>
              <w:mirrorIndents/>
              <w:textAlignment w:val="baseline"/>
              <w:rPr>
                <w:rFonts w:ascii="宋体" w:eastAsia="宋体" w:hAnsi="宋体" w:cs="Calibri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</w:tbl>
    <w:p w:rsidR="00E91356" w:rsidRPr="00524CA8" w:rsidRDefault="006E21CC" w:rsidP="00524CA8">
      <w:pPr>
        <w:widowControl/>
        <w:shd w:val="clear" w:color="auto" w:fill="FFFFFF"/>
        <w:spacing w:after="0" w:line="240" w:lineRule="auto"/>
        <w:contextualSpacing/>
        <w:mirrorIndents/>
        <w:textAlignment w:val="baseline"/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</w:pPr>
      <w:r>
        <w:rPr>
          <w:rFonts w:ascii="宋体" w:eastAsia="宋体" w:hAnsi="宋体" w:cs="Calibri" w:hint="eastAsia"/>
          <w:color w:val="383838"/>
          <w:kern w:val="0"/>
          <w:sz w:val="28"/>
          <w:szCs w:val="28"/>
          <w14:ligatures w14:val="none"/>
        </w:rPr>
        <w:t>5、其他需求：</w:t>
      </w:r>
    </w:p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993"/>
        <w:gridCol w:w="6804"/>
        <w:gridCol w:w="850"/>
      </w:tblGrid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维保资质：</w:t>
            </w:r>
            <w:r w:rsidR="0064534C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具有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水系统施工维保相关资质。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7C127D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承包</w:t>
            </w:r>
            <w:r w:rsidR="006E21CC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方</w:t>
            </w:r>
            <w:r w:rsidR="006E21CC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水系统工程师</w:t>
            </w:r>
            <w:r w:rsidR="006E21CC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，</w:t>
            </w:r>
            <w:r w:rsidR="006E21CC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掌握并能编辑水系统控制程序，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EDI改造新修改程序提供1年免费优化服务</w:t>
            </w:r>
            <w:r w:rsidR="006E21CC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7C127D" w:rsidP="00524CA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承包</w:t>
            </w:r>
            <w:r w:rsidR="006E21CC"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方必须按</w:t>
            </w:r>
            <w:r w:rsidR="006E21CC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运行保障部</w:t>
            </w:r>
            <w:r w:rsidR="006E21CC"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确认的进度计划组织施工，接受</w:t>
            </w:r>
            <w:r w:rsidR="006E21CC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本公司</w:t>
            </w:r>
            <w:r w:rsidR="006E21CC"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方对工程进度的检查、监督。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lastRenderedPageBreak/>
              <w:t>URS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7C127D" w:rsidP="00524CA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承包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方需安排水系统程序控制工程师对现场程序进行调试，保证维保方能够对程序故障进行处理和优化。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7C127D" w:rsidP="00524CA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承包方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须按本公司水系统图纸施工，施工中若发现存在设计缺陷，应及时提出，并在接到设计单位或本公司的变更通知后方可。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7C127D" w:rsidP="00524CA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承包方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项目施工竣工后需通过运行保障部组织的竣工验收，并确保项目符合《兽药生产质量管理规范（GMP） 2020版》的要求。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6E21CC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自验收日起一年内，因施工或材料材质不良或其他任何缺陷所引起之故障，施工方应负责免费修复，造成损失应照价赔偿。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7C127D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承包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方施工需要与我方签订安全施工协议，对施工安全负全面责任。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所有项目完成后，项目</w:t>
            </w:r>
            <w:r w:rsidR="007C127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承包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方需配合我方完成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水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系统的再验证工作，再验证前将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水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系统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各项指标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调整到规范要求之内。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C6580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提供投标文件及</w:t>
            </w:r>
            <w:r w:rsidR="00C6580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改造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合同</w:t>
            </w:r>
            <w:r w:rsidR="00C6580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C6580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对于造成停机耽误生产的突发故障，我方反映问题后，如果是系统控制或软件程序的问题，维保方必须1小时内联网解决；如是硬件故障，必须1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2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小时内派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lastRenderedPageBreak/>
              <w:t>人赶到现场进行处理。如因</w:t>
            </w:r>
            <w:r w:rsidR="00C6580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质保期服务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不及时对生产造成的损失，我方有权进行追责。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lastRenderedPageBreak/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bookmarkStart w:id="2" w:name="_Hlk136336969"/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bookmarkEnd w:id="2"/>
            <w:r w:rsidR="00C6580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项目施工工期要求：合同签订后1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0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天内完成所有维保项目</w:t>
            </w:r>
            <w:r w:rsidR="00C213ED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C213ED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ED" w:rsidRPr="00524CA8" w:rsidRDefault="00C213ED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C6580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ED" w:rsidRPr="00524CA8" w:rsidRDefault="00C213ED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项目验收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：维保完成后，设备运行正常平稳，水质通过质量管理部检测合格后，由运行保障部组织，</w:t>
            </w:r>
            <w:r w:rsidR="00BA704E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Q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A参与进行验收。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ED" w:rsidRPr="00524CA8" w:rsidRDefault="004E7E86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  <w:tr w:rsidR="00524CA8" w:rsidRPr="00524CA8" w:rsidTr="00E06747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URS</w:t>
            </w:r>
            <w:r w:rsidR="00C6580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项目验收标准：</w:t>
            </w:r>
          </w:p>
          <w:p w:rsidR="00524CA8" w:rsidRPr="00524CA8" w:rsidRDefault="00524CA8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1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、</w:t>
            </w:r>
            <w:r w:rsidR="00C65802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EDI产水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电导率＜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 0.0</w:t>
            </w:r>
            <w:r w:rsidR="00BA704E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6</w:t>
            </w:r>
            <w:r w:rsidRPr="00524CA8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  <w14:ligatures w14:val="none"/>
              </w:rPr>
              <w:t>us/cm</w:t>
            </w: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。</w:t>
            </w:r>
          </w:p>
          <w:p w:rsidR="00524CA8" w:rsidRPr="00524CA8" w:rsidRDefault="00C65802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2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、所使用维保材料质量及数量符合要求，相关技术资料、证明资料齐全。</w:t>
            </w:r>
          </w:p>
          <w:p w:rsidR="00524CA8" w:rsidRPr="00524CA8" w:rsidRDefault="00C65802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3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、现场清场彻底，无滴漏现象。</w:t>
            </w:r>
          </w:p>
          <w:p w:rsidR="00524CA8" w:rsidRPr="00524CA8" w:rsidRDefault="00C65802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4</w:t>
            </w:r>
            <w:r w:rsidR="00524CA8"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、设备试车自动运行3天，程序运行平稳且无故障报警信息。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CA8" w:rsidRPr="00524CA8" w:rsidRDefault="004E7E86" w:rsidP="00524CA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</w:pPr>
            <w:r w:rsidRPr="00524CA8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  <w14:ligatures w14:val="none"/>
              </w:rPr>
              <w:t>必需</w:t>
            </w:r>
          </w:p>
        </w:tc>
      </w:tr>
    </w:tbl>
    <w:p w:rsidR="00524CA8" w:rsidRPr="00524CA8" w:rsidRDefault="00524CA8" w:rsidP="00524CA8">
      <w:pPr>
        <w:widowControl/>
        <w:shd w:val="clear" w:color="auto" w:fill="FFFFFF"/>
        <w:spacing w:after="0" w:line="240" w:lineRule="auto"/>
        <w:contextualSpacing/>
        <w:mirrorIndents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</w:pPr>
      <w:r w:rsidRPr="00524CA8">
        <w:rPr>
          <w:rFonts w:ascii="宋体" w:eastAsia="宋体" w:hAnsi="宋体" w:cs="宋体" w:hint="eastAsia"/>
          <w:color w:val="383838"/>
          <w:kern w:val="0"/>
          <w:sz w:val="28"/>
          <w:szCs w:val="28"/>
          <w14:ligatures w14:val="none"/>
        </w:rPr>
        <w:t xml:space="preserve">                </w:t>
      </w:r>
    </w:p>
    <w:p w:rsidR="004E7E86" w:rsidRPr="004E7E86" w:rsidRDefault="00514D79" w:rsidP="004E7E86">
      <w:pPr>
        <w:ind w:firstLineChars="1900" w:firstLine="5341"/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14:ligatures w14:val="none"/>
        </w:rPr>
      </w:pPr>
      <w:r w:rsidRPr="004E7E86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14:ligatures w14:val="none"/>
        </w:rPr>
        <w:t>生产部运行保障部</w:t>
      </w:r>
    </w:p>
    <w:p w:rsidR="00C213ED" w:rsidRPr="004E7E86" w:rsidRDefault="00514D79" w:rsidP="004E7E86">
      <w:pPr>
        <w:ind w:firstLineChars="1900" w:firstLine="5341"/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14:ligatures w14:val="none"/>
        </w:rPr>
      </w:pPr>
      <w:r w:rsidRPr="004E7E86">
        <w:rPr>
          <w:rFonts w:ascii="宋体" w:eastAsia="宋体" w:hAnsi="宋体" w:cs="宋体"/>
          <w:b/>
          <w:color w:val="383838"/>
          <w:kern w:val="0"/>
          <w:sz w:val="28"/>
          <w:szCs w:val="28"/>
          <w14:ligatures w14:val="none"/>
        </w:rPr>
        <w:t>2024年</w:t>
      </w:r>
      <w:r w:rsidR="00C65802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14:ligatures w14:val="none"/>
        </w:rPr>
        <w:t>11</w:t>
      </w:r>
      <w:r w:rsidRPr="004E7E86">
        <w:rPr>
          <w:rFonts w:ascii="宋体" w:eastAsia="宋体" w:hAnsi="宋体" w:cs="宋体"/>
          <w:b/>
          <w:color w:val="383838"/>
          <w:kern w:val="0"/>
          <w:sz w:val="28"/>
          <w:szCs w:val="28"/>
          <w14:ligatures w14:val="none"/>
        </w:rPr>
        <w:t>月</w:t>
      </w:r>
      <w:r w:rsidR="00C65802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14:ligatures w14:val="none"/>
        </w:rPr>
        <w:t>04</w:t>
      </w:r>
      <w:r w:rsidRPr="004E7E86">
        <w:rPr>
          <w:rFonts w:ascii="宋体" w:eastAsia="宋体" w:hAnsi="宋体" w:cs="宋体"/>
          <w:b/>
          <w:color w:val="383838"/>
          <w:kern w:val="0"/>
          <w:sz w:val="28"/>
          <w:szCs w:val="28"/>
          <w14:ligatures w14:val="none"/>
        </w:rPr>
        <w:t>日</w:t>
      </w:r>
    </w:p>
    <w:sectPr w:rsidR="00C213ED" w:rsidRPr="004E7E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0D5A" w:rsidRDefault="005A0D5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5A0D5A" w:rsidRDefault="005A0D5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92248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E7E86" w:rsidRDefault="004E7E86">
            <w:pPr>
              <w:pStyle w:val="a3"/>
              <w:jc w:val="right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86" w:rsidRDefault="004E7E8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0D5A" w:rsidRDefault="005A0D5A">
      <w:pPr>
        <w:spacing w:after="0"/>
        <w:rPr>
          <w:rFonts w:hint="eastAsia"/>
        </w:rPr>
      </w:pPr>
      <w:r>
        <w:separator/>
      </w:r>
    </w:p>
  </w:footnote>
  <w:footnote w:type="continuationSeparator" w:id="0">
    <w:p w:rsidR="005A0D5A" w:rsidRDefault="005A0D5A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hNTkxYzhiYTBlNzBkYjNiZGM5ODA5YTkyN2U2YTgifQ=="/>
  </w:docVars>
  <w:rsids>
    <w:rsidRoot w:val="002F79D8"/>
    <w:rsid w:val="00056BF2"/>
    <w:rsid w:val="00083BEA"/>
    <w:rsid w:val="000A6F23"/>
    <w:rsid w:val="000F0EA3"/>
    <w:rsid w:val="001349B5"/>
    <w:rsid w:val="001360A5"/>
    <w:rsid w:val="0016288B"/>
    <w:rsid w:val="00171886"/>
    <w:rsid w:val="001C7E86"/>
    <w:rsid w:val="00207049"/>
    <w:rsid w:val="00247BEA"/>
    <w:rsid w:val="00295E98"/>
    <w:rsid w:val="002F5380"/>
    <w:rsid w:val="002F79D8"/>
    <w:rsid w:val="00323E63"/>
    <w:rsid w:val="00351AA8"/>
    <w:rsid w:val="00356B31"/>
    <w:rsid w:val="003635EE"/>
    <w:rsid w:val="0036633E"/>
    <w:rsid w:val="003816FE"/>
    <w:rsid w:val="003872F5"/>
    <w:rsid w:val="0039393F"/>
    <w:rsid w:val="003959E2"/>
    <w:rsid w:val="003C4020"/>
    <w:rsid w:val="004139CA"/>
    <w:rsid w:val="00443221"/>
    <w:rsid w:val="004C35C8"/>
    <w:rsid w:val="004D0074"/>
    <w:rsid w:val="004E7E86"/>
    <w:rsid w:val="00514D79"/>
    <w:rsid w:val="00524CA8"/>
    <w:rsid w:val="00580B6D"/>
    <w:rsid w:val="00586BED"/>
    <w:rsid w:val="005A0D5A"/>
    <w:rsid w:val="006000AE"/>
    <w:rsid w:val="00603157"/>
    <w:rsid w:val="0064534C"/>
    <w:rsid w:val="00671A62"/>
    <w:rsid w:val="00690E92"/>
    <w:rsid w:val="006A344D"/>
    <w:rsid w:val="006E21CC"/>
    <w:rsid w:val="006E71CF"/>
    <w:rsid w:val="00740F9F"/>
    <w:rsid w:val="007C127D"/>
    <w:rsid w:val="007E416A"/>
    <w:rsid w:val="00803CBB"/>
    <w:rsid w:val="0084153C"/>
    <w:rsid w:val="00845C4C"/>
    <w:rsid w:val="0084704D"/>
    <w:rsid w:val="00852800"/>
    <w:rsid w:val="00863CFC"/>
    <w:rsid w:val="008E462B"/>
    <w:rsid w:val="00900B1D"/>
    <w:rsid w:val="009244B1"/>
    <w:rsid w:val="00982540"/>
    <w:rsid w:val="00993F62"/>
    <w:rsid w:val="009A797C"/>
    <w:rsid w:val="00A55AA2"/>
    <w:rsid w:val="00A6475B"/>
    <w:rsid w:val="00A72629"/>
    <w:rsid w:val="00A9654C"/>
    <w:rsid w:val="00AD05E7"/>
    <w:rsid w:val="00AE714A"/>
    <w:rsid w:val="00B15085"/>
    <w:rsid w:val="00B77217"/>
    <w:rsid w:val="00BA704E"/>
    <w:rsid w:val="00BF57FB"/>
    <w:rsid w:val="00C213ED"/>
    <w:rsid w:val="00C65802"/>
    <w:rsid w:val="00C9280E"/>
    <w:rsid w:val="00CF63AA"/>
    <w:rsid w:val="00D76E72"/>
    <w:rsid w:val="00DB0237"/>
    <w:rsid w:val="00DF73C0"/>
    <w:rsid w:val="00E06747"/>
    <w:rsid w:val="00E44DF7"/>
    <w:rsid w:val="00E51103"/>
    <w:rsid w:val="00E6055C"/>
    <w:rsid w:val="00E83EDF"/>
    <w:rsid w:val="00E91356"/>
    <w:rsid w:val="00ED6818"/>
    <w:rsid w:val="00EE55B7"/>
    <w:rsid w:val="00EF137E"/>
    <w:rsid w:val="00F10963"/>
    <w:rsid w:val="00FB2077"/>
    <w:rsid w:val="00FE05A5"/>
    <w:rsid w:val="04073203"/>
    <w:rsid w:val="06562220"/>
    <w:rsid w:val="06E635A4"/>
    <w:rsid w:val="08AD7F07"/>
    <w:rsid w:val="0963712E"/>
    <w:rsid w:val="105772C0"/>
    <w:rsid w:val="107D660D"/>
    <w:rsid w:val="11246F71"/>
    <w:rsid w:val="115D204F"/>
    <w:rsid w:val="13545F18"/>
    <w:rsid w:val="16556050"/>
    <w:rsid w:val="16943396"/>
    <w:rsid w:val="211552DF"/>
    <w:rsid w:val="21FB3F4F"/>
    <w:rsid w:val="23AB3753"/>
    <w:rsid w:val="289679E6"/>
    <w:rsid w:val="2C4161F0"/>
    <w:rsid w:val="2E486023"/>
    <w:rsid w:val="30714C99"/>
    <w:rsid w:val="32420310"/>
    <w:rsid w:val="34770851"/>
    <w:rsid w:val="36B55DE6"/>
    <w:rsid w:val="399509D9"/>
    <w:rsid w:val="3E7762B4"/>
    <w:rsid w:val="42BC698B"/>
    <w:rsid w:val="42F93975"/>
    <w:rsid w:val="434D7F2B"/>
    <w:rsid w:val="45EE77A4"/>
    <w:rsid w:val="460A5089"/>
    <w:rsid w:val="48F5714E"/>
    <w:rsid w:val="49423962"/>
    <w:rsid w:val="4972249A"/>
    <w:rsid w:val="4A8835F7"/>
    <w:rsid w:val="4F10110D"/>
    <w:rsid w:val="5210570C"/>
    <w:rsid w:val="56A47A0A"/>
    <w:rsid w:val="57727B09"/>
    <w:rsid w:val="58AB7ED0"/>
    <w:rsid w:val="5C0E6052"/>
    <w:rsid w:val="5E25629E"/>
    <w:rsid w:val="5FF12173"/>
    <w:rsid w:val="629F458E"/>
    <w:rsid w:val="6A6F24E7"/>
    <w:rsid w:val="6D097EC3"/>
    <w:rsid w:val="6E837843"/>
    <w:rsid w:val="6EFF182A"/>
    <w:rsid w:val="724D2CC7"/>
    <w:rsid w:val="73661E78"/>
    <w:rsid w:val="78964FAD"/>
    <w:rsid w:val="78F105E9"/>
    <w:rsid w:val="7E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8000D"/>
  <w15:docId w15:val="{1899D8C2-C4BF-44A4-A879-5E0E2B12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ezzepx7">
    <w:name w:val="ezzepx7"/>
    <w:basedOn w:val="a0"/>
    <w:qFormat/>
  </w:style>
  <w:style w:type="character" w:customStyle="1" w:styleId="m7398u0z13v">
    <w:name w:val="m7398u0z13v"/>
    <w:basedOn w:val="a0"/>
    <w:qFormat/>
  </w:style>
  <w:style w:type="character" w:customStyle="1" w:styleId="ebdywr4">
    <w:name w:val="ebdywr4"/>
    <w:basedOn w:val="a0"/>
    <w:qFormat/>
  </w:style>
  <w:style w:type="character" w:customStyle="1" w:styleId="ow1vxs7">
    <w:name w:val="ow1vxs7"/>
    <w:basedOn w:val="a0"/>
    <w:qFormat/>
  </w:style>
  <w:style w:type="paragraph" w:customStyle="1" w:styleId="Style36">
    <w:name w:val="_Style 36"/>
    <w:basedOn w:val="a"/>
    <w:next w:val="ad"/>
    <w:uiPriority w:val="34"/>
    <w:qFormat/>
    <w:pPr>
      <w:spacing w:after="0" w:line="240" w:lineRule="auto"/>
      <w:ind w:firstLineChars="200" w:firstLine="420"/>
      <w:jc w:val="both"/>
    </w:pPr>
    <w:rPr>
      <w:rFonts w:ascii="等线" w:eastAsia="等线" w:hAnsi="等线" w:cs="Times New Roman"/>
      <w:sz w:val="21"/>
      <w:szCs w:val="22"/>
      <w14:ligatures w14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rsid w:val="00C9280E"/>
    <w:pPr>
      <w:widowControl/>
      <w:tabs>
        <w:tab w:val="left" w:pos="425"/>
      </w:tabs>
      <w:overflowPunct w:val="0"/>
      <w:autoSpaceDE w:val="0"/>
      <w:autoSpaceDN w:val="0"/>
      <w:adjustRightInd w:val="0"/>
      <w:spacing w:before="0" w:after="0" w:line="360" w:lineRule="auto"/>
      <w:textAlignment w:val="baseline"/>
      <w:outlineLvl w:val="9"/>
    </w:pPr>
    <w:rPr>
      <w:rFonts w:ascii="Calibri" w:eastAsia="宋体" w:hAnsi="Calibri" w:cs="Times New Roman"/>
      <w:b/>
      <w:bCs/>
      <w:color w:val="auto"/>
      <w:kern w:val="44"/>
      <w:sz w:val="22"/>
      <w:szCs w:val="44"/>
      <w:lang w:val="en-GB" w:eastAsia="en-US"/>
      <w14:ligatures w14:val="none"/>
    </w:rPr>
  </w:style>
  <w:style w:type="paragraph" w:customStyle="1" w:styleId="Tabletext">
    <w:name w:val="Table text"/>
    <w:basedOn w:val="a"/>
    <w:qFormat/>
    <w:rsid w:val="00C9280E"/>
    <w:pPr>
      <w:widowControl/>
      <w:spacing w:before="120" w:after="120" w:line="240" w:lineRule="auto"/>
      <w:jc w:val="both"/>
    </w:pPr>
    <w:rPr>
      <w:rFonts w:ascii="Calibri" w:eastAsia="宋体" w:hAnsi="Calibri" w:cs="Times New Roman"/>
      <w:kern w:val="0"/>
      <w:sz w:val="21"/>
      <w:szCs w:val="20"/>
      <w:lang w:eastAsia="en-US"/>
      <w14:ligatures w14:val="none"/>
    </w:rPr>
  </w:style>
  <w:style w:type="table" w:styleId="af0">
    <w:name w:val="Table Grid"/>
    <w:basedOn w:val="a1"/>
    <w:uiPriority w:val="39"/>
    <w:rsid w:val="00D76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 chw</dc:creator>
  <cp:lastModifiedBy>chw chw</cp:lastModifiedBy>
  <cp:revision>30</cp:revision>
  <dcterms:created xsi:type="dcterms:W3CDTF">2024-03-11T02:25:00Z</dcterms:created>
  <dcterms:modified xsi:type="dcterms:W3CDTF">2024-12-04T01:12:00Z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81228607819C44CCA2A0C42130D41488_12</vt:lpwstr>
  </property>
</Properties>
</file>