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3B221" w14:textId="3E257525" w:rsidR="00974A40" w:rsidRPr="0098247A" w:rsidRDefault="0098247A" w:rsidP="0098247A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8247A">
        <w:rPr>
          <w:rFonts w:ascii="宋体" w:eastAsia="宋体" w:hAnsi="宋体" w:cs="Times New Roman"/>
          <w:b/>
          <w:sz w:val="30"/>
          <w:szCs w:val="30"/>
        </w:rPr>
        <w:t>翻译品类供应商URS</w:t>
      </w:r>
    </w:p>
    <w:p w14:paraId="3E0BD619" w14:textId="672145C3" w:rsidR="0098247A" w:rsidRPr="0098247A" w:rsidRDefault="0098247A" w:rsidP="0098247A">
      <w:pPr>
        <w:jc w:val="center"/>
        <w:rPr>
          <w:rFonts w:ascii="宋体" w:eastAsia="宋体" w:hAnsi="宋体" w:cs="Times New Roman"/>
          <w:b/>
          <w:sz w:val="30"/>
          <w:szCs w:val="30"/>
        </w:rPr>
      </w:pPr>
    </w:p>
    <w:p w14:paraId="027E2B07" w14:textId="35028933" w:rsidR="0098247A" w:rsidRPr="00F85867" w:rsidRDefault="0098247A" w:rsidP="0098247A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 w:rsidRPr="00F85867">
        <w:rPr>
          <w:rFonts w:ascii="宋体" w:eastAsia="宋体" w:hAnsi="宋体" w:cs="Times New Roman"/>
          <w:b/>
          <w:sz w:val="28"/>
          <w:szCs w:val="28"/>
        </w:rPr>
        <w:t>1、投标单位资质</w:t>
      </w:r>
    </w:p>
    <w:p w14:paraId="3D563A86" w14:textId="7397CBDA" w:rsidR="0098247A" w:rsidRDefault="0098247A" w:rsidP="0098247A">
      <w:pPr>
        <w:ind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98247A">
        <w:rPr>
          <w:rFonts w:ascii="宋体" w:eastAsia="宋体" w:hAnsi="宋体" w:cs="Times New Roman"/>
          <w:bCs/>
          <w:sz w:val="28"/>
          <w:szCs w:val="28"/>
        </w:rPr>
        <w:t>需提供公司简介、营业执照</w:t>
      </w:r>
    </w:p>
    <w:p w14:paraId="442111D6" w14:textId="2F6045EA" w:rsidR="0098247A" w:rsidRPr="00F85867" w:rsidRDefault="0098247A" w:rsidP="0098247A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 w:rsidRPr="00F85867">
        <w:rPr>
          <w:rFonts w:ascii="宋体" w:eastAsia="宋体" w:hAnsi="宋体" w:cs="Times New Roman"/>
          <w:b/>
          <w:sz w:val="28"/>
          <w:szCs w:val="28"/>
        </w:rPr>
        <w:t>2</w:t>
      </w:r>
      <w:r w:rsidRPr="00F85867">
        <w:rPr>
          <w:rFonts w:ascii="宋体" w:eastAsia="宋体" w:hAnsi="宋体" w:cs="Times New Roman" w:hint="eastAsia"/>
          <w:b/>
          <w:sz w:val="28"/>
          <w:szCs w:val="28"/>
        </w:rPr>
        <w:t>、工作内容</w:t>
      </w:r>
    </w:p>
    <w:p w14:paraId="1B66FE52" w14:textId="16763904" w:rsidR="0098247A" w:rsidRDefault="0098247A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98247A">
        <w:rPr>
          <w:rFonts w:ascii="宋体" w:eastAsia="宋体" w:hAnsi="宋体" w:cs="Times New Roman"/>
          <w:bCs/>
          <w:sz w:val="28"/>
          <w:szCs w:val="28"/>
        </w:rPr>
        <w:t>按双方约定提供翻译服务</w:t>
      </w:r>
      <w:r w:rsidR="00F85867">
        <w:rPr>
          <w:rFonts w:ascii="宋体" w:eastAsia="宋体" w:hAnsi="宋体" w:cs="Times New Roman" w:hint="eastAsia"/>
          <w:bCs/>
          <w:sz w:val="28"/>
          <w:szCs w:val="28"/>
        </w:rPr>
        <w:t>（翻译类型见附件一）</w:t>
      </w:r>
      <w:r w:rsidRPr="0098247A">
        <w:rPr>
          <w:rFonts w:ascii="宋体" w:eastAsia="宋体" w:hAnsi="宋体" w:cs="Times New Roman"/>
          <w:bCs/>
          <w:sz w:val="28"/>
          <w:szCs w:val="28"/>
        </w:rPr>
        <w:t>，并通过约定的提交方式</w:t>
      </w:r>
      <w:r>
        <w:rPr>
          <w:rFonts w:ascii="宋体" w:eastAsia="宋体" w:hAnsi="宋体" w:cs="Times New Roman" w:hint="eastAsia"/>
          <w:bCs/>
          <w:sz w:val="28"/>
          <w:szCs w:val="28"/>
        </w:rPr>
        <w:t>提交</w:t>
      </w:r>
      <w:r w:rsidRPr="0098247A">
        <w:rPr>
          <w:rFonts w:ascii="宋体" w:eastAsia="宋体" w:hAnsi="宋体" w:cs="Times New Roman"/>
          <w:bCs/>
          <w:sz w:val="28"/>
          <w:szCs w:val="28"/>
        </w:rPr>
        <w:t>翻译好的文件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按《语言翻译</w:t>
      </w:r>
      <w:r w:rsidR="009C6C38">
        <w:rPr>
          <w:rFonts w:ascii="宋体" w:eastAsia="宋体" w:hAnsi="宋体" w:cs="Times New Roman" w:hint="eastAsia"/>
          <w:bCs/>
          <w:sz w:val="28"/>
          <w:szCs w:val="28"/>
        </w:rPr>
        <w:t>要求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》</w:t>
      </w:r>
      <w:r w:rsidR="00F85867">
        <w:rPr>
          <w:rFonts w:ascii="宋体" w:eastAsia="宋体" w:hAnsi="宋体" w:cs="Times New Roman" w:hint="eastAsia"/>
          <w:bCs/>
          <w:sz w:val="28"/>
          <w:szCs w:val="28"/>
        </w:rPr>
        <w:t>（附件二）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，每千字原文不能超过</w:t>
      </w:r>
      <w:r w:rsidRPr="0098247A">
        <w:rPr>
          <w:rFonts w:ascii="宋体" w:eastAsia="宋体" w:hAnsi="宋体" w:cs="Times New Roman"/>
          <w:bCs/>
          <w:sz w:val="28"/>
          <w:szCs w:val="28"/>
        </w:rPr>
        <w:t>2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个轻度错误或</w:t>
      </w:r>
      <w:r w:rsidRPr="0098247A">
        <w:rPr>
          <w:rFonts w:ascii="宋体" w:eastAsia="宋体" w:hAnsi="宋体" w:cs="Times New Roman"/>
          <w:bCs/>
          <w:sz w:val="28"/>
          <w:szCs w:val="28"/>
        </w:rPr>
        <w:t>1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个重要错误或</w:t>
      </w:r>
      <w:r w:rsidRPr="0098247A">
        <w:rPr>
          <w:rFonts w:ascii="宋体" w:eastAsia="宋体" w:hAnsi="宋体" w:cs="Times New Roman"/>
          <w:bCs/>
          <w:sz w:val="28"/>
          <w:szCs w:val="28"/>
        </w:rPr>
        <w:t>1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个重大错误，将排版错误保持在平均每页不超过</w:t>
      </w:r>
      <w:r w:rsidRPr="0098247A">
        <w:rPr>
          <w:rFonts w:ascii="宋体" w:eastAsia="宋体" w:hAnsi="宋体" w:cs="Times New Roman"/>
          <w:bCs/>
          <w:sz w:val="28"/>
          <w:szCs w:val="28"/>
        </w:rPr>
        <w:t>1处错误的水准。如果译文中存在问题，</w:t>
      </w:r>
      <w:r>
        <w:rPr>
          <w:rFonts w:ascii="宋体" w:eastAsia="宋体" w:hAnsi="宋体" w:cs="Times New Roman" w:hint="eastAsia"/>
          <w:bCs/>
          <w:sz w:val="28"/>
          <w:szCs w:val="28"/>
        </w:rPr>
        <w:t>国药动保</w:t>
      </w:r>
      <w:r w:rsidRPr="0098247A">
        <w:rPr>
          <w:rFonts w:ascii="宋体" w:eastAsia="宋体" w:hAnsi="宋体" w:cs="Times New Roman"/>
          <w:bCs/>
          <w:sz w:val="28"/>
          <w:szCs w:val="28"/>
        </w:rPr>
        <w:t>有权利要求</w:t>
      </w:r>
      <w:r>
        <w:rPr>
          <w:rFonts w:ascii="宋体" w:eastAsia="宋体" w:hAnsi="宋体" w:cs="Times New Roman" w:hint="eastAsia"/>
          <w:bCs/>
          <w:sz w:val="28"/>
          <w:szCs w:val="28"/>
        </w:rPr>
        <w:t>供应商</w:t>
      </w:r>
      <w:r w:rsidRPr="0098247A">
        <w:rPr>
          <w:rFonts w:ascii="宋体" w:eastAsia="宋体" w:hAnsi="宋体" w:cs="Times New Roman"/>
          <w:bCs/>
          <w:sz w:val="28"/>
          <w:szCs w:val="28"/>
        </w:rPr>
        <w:t>对译文进行改正。</w:t>
      </w:r>
      <w:r>
        <w:rPr>
          <w:rFonts w:ascii="宋体" w:eastAsia="宋体" w:hAnsi="宋体" w:cs="Times New Roman" w:hint="eastAsia"/>
          <w:bCs/>
          <w:sz w:val="28"/>
          <w:szCs w:val="28"/>
        </w:rPr>
        <w:t>供应商</w:t>
      </w:r>
      <w:r w:rsidRPr="0098247A">
        <w:rPr>
          <w:rFonts w:ascii="宋体" w:eastAsia="宋体" w:hAnsi="宋体" w:cs="Times New Roman"/>
          <w:bCs/>
          <w:sz w:val="28"/>
          <w:szCs w:val="28"/>
        </w:rPr>
        <w:t>应该以自己的成本提高译文质量。在</w:t>
      </w:r>
      <w:r>
        <w:rPr>
          <w:rFonts w:ascii="宋体" w:eastAsia="宋体" w:hAnsi="宋体" w:cs="Times New Roman" w:hint="eastAsia"/>
          <w:bCs/>
          <w:sz w:val="28"/>
          <w:szCs w:val="28"/>
        </w:rPr>
        <w:t>国药动保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源文件内容不变的情况下，</w:t>
      </w:r>
      <w:r>
        <w:rPr>
          <w:rFonts w:ascii="宋体" w:eastAsia="宋体" w:hAnsi="宋体" w:cs="Times New Roman" w:hint="eastAsia"/>
          <w:bCs/>
          <w:sz w:val="28"/>
          <w:szCs w:val="28"/>
        </w:rPr>
        <w:t>供应商</w:t>
      </w:r>
      <w:r w:rsidRPr="0098247A">
        <w:rPr>
          <w:rFonts w:ascii="宋体" w:eastAsia="宋体" w:hAnsi="宋体" w:cs="Times New Roman" w:hint="eastAsia"/>
          <w:bCs/>
          <w:sz w:val="28"/>
          <w:szCs w:val="28"/>
        </w:rPr>
        <w:t>可提供三轮免费的译文修改服务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7929025C" w14:textId="0517D903" w:rsidR="0098247A" w:rsidRPr="00F85867" w:rsidRDefault="0098247A" w:rsidP="0098247A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 w:rsidRPr="00F85867">
        <w:rPr>
          <w:rFonts w:ascii="宋体" w:eastAsia="宋体" w:hAnsi="宋体" w:cs="Times New Roman" w:hint="eastAsia"/>
          <w:b/>
          <w:sz w:val="28"/>
          <w:szCs w:val="28"/>
        </w:rPr>
        <w:t>3</w:t>
      </w:r>
      <w:r w:rsidRPr="00F85867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F85867">
        <w:rPr>
          <w:rFonts w:ascii="宋体" w:eastAsia="宋体" w:hAnsi="宋体" w:cs="Times New Roman" w:hint="eastAsia"/>
          <w:b/>
          <w:sz w:val="28"/>
          <w:szCs w:val="28"/>
        </w:rPr>
        <w:t>保密内容</w:t>
      </w:r>
    </w:p>
    <w:p w14:paraId="7EED029B" w14:textId="3523CDD0" w:rsidR="0098247A" w:rsidRDefault="0098247A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F03B6">
        <w:rPr>
          <w:rFonts w:ascii="宋体" w:eastAsia="宋体" w:hAnsi="宋体" w:cs="Times New Roman"/>
          <w:bCs/>
          <w:sz w:val="28"/>
          <w:szCs w:val="28"/>
        </w:rPr>
        <w:t>原始格式文件和翻译后文件的版权、著作权与所有权，包括语言资产如术语库、翻译记忆库、风格指南等</w:t>
      </w:r>
      <w:r w:rsidR="00DF03B6" w:rsidRPr="00DF03B6">
        <w:rPr>
          <w:rFonts w:ascii="宋体" w:eastAsia="宋体" w:hAnsi="宋体" w:cs="Times New Roman" w:hint="eastAsia"/>
          <w:bCs/>
          <w:sz w:val="28"/>
          <w:szCs w:val="28"/>
        </w:rPr>
        <w:t>归国药动保所有</w:t>
      </w:r>
      <w:r w:rsidR="00DF03B6">
        <w:rPr>
          <w:rFonts w:ascii="宋体" w:eastAsia="宋体" w:hAnsi="宋体" w:cs="Times New Roman" w:hint="eastAsia"/>
          <w:bCs/>
          <w:sz w:val="28"/>
          <w:szCs w:val="28"/>
        </w:rPr>
        <w:t>。供应商应对国药动保</w:t>
      </w:r>
      <w:r w:rsidR="00DF03B6" w:rsidRPr="00DF03B6">
        <w:rPr>
          <w:rFonts w:ascii="宋体" w:eastAsia="宋体" w:hAnsi="宋体" w:cs="Times New Roman" w:hint="eastAsia"/>
          <w:bCs/>
          <w:sz w:val="28"/>
          <w:szCs w:val="28"/>
        </w:rPr>
        <w:t>向提供的任何和所有科学、技术、财务或业务信息或商业秘密</w:t>
      </w:r>
      <w:r w:rsidR="00DF03B6">
        <w:rPr>
          <w:rFonts w:ascii="宋体" w:eastAsia="宋体" w:hAnsi="宋体" w:cs="Times New Roman" w:hint="eastAsia"/>
          <w:bCs/>
          <w:sz w:val="28"/>
          <w:szCs w:val="28"/>
        </w:rPr>
        <w:t>严格保密。</w:t>
      </w:r>
    </w:p>
    <w:p w14:paraId="399B6EBE" w14:textId="1AF4421F" w:rsidR="00F85867" w:rsidRDefault="00F85867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14:paraId="27996399" w14:textId="428EB13C" w:rsidR="00F85867" w:rsidRDefault="00F85867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14:paraId="77321DAA" w14:textId="58A8FEEA" w:rsidR="00F85867" w:rsidRDefault="00F85867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14:paraId="66483018" w14:textId="7A6A07CB" w:rsidR="00F85867" w:rsidRDefault="00F85867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14:paraId="50B9F958" w14:textId="77777777" w:rsidR="00F85867" w:rsidRDefault="00F85867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14:paraId="1FA7D00C" w14:textId="0691BAAC" w:rsidR="00F85867" w:rsidRPr="00F85867" w:rsidRDefault="00F85867" w:rsidP="00F85867">
      <w:pPr>
        <w:widowControl/>
        <w:snapToGrid w:val="0"/>
        <w:spacing w:before="120" w:after="120" w:line="276" w:lineRule="auto"/>
        <w:rPr>
          <w:b/>
          <w:sz w:val="22"/>
        </w:rPr>
      </w:pPr>
      <w:r w:rsidRPr="00F85867">
        <w:rPr>
          <w:rFonts w:hint="eastAsia"/>
          <w:b/>
          <w:sz w:val="22"/>
        </w:rPr>
        <w:lastRenderedPageBreak/>
        <w:t>附件一：</w:t>
      </w:r>
      <w:r>
        <w:rPr>
          <w:rFonts w:hint="eastAsia"/>
          <w:b/>
          <w:sz w:val="22"/>
        </w:rPr>
        <w:t>翻译工作内容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6"/>
        <w:gridCol w:w="2822"/>
        <w:gridCol w:w="4333"/>
      </w:tblGrid>
      <w:tr w:rsidR="00F85867" w:rsidRPr="00C80920" w14:paraId="7F34FDCA" w14:textId="77777777" w:rsidTr="00367664">
        <w:trPr>
          <w:trHeight w:hRule="exact" w:val="755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A92A0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/>
              <w:jc w:val="center"/>
              <w:rPr>
                <w:b/>
                <w:sz w:val="21"/>
                <w:szCs w:val="21"/>
              </w:rPr>
            </w:pPr>
            <w:r w:rsidRPr="004340F4">
              <w:rPr>
                <w:rFonts w:hint="eastAsia"/>
                <w:b/>
                <w:spacing w:val="1"/>
                <w:sz w:val="21"/>
                <w:szCs w:val="21"/>
              </w:rPr>
              <w:t>序列</w:t>
            </w:r>
          </w:p>
        </w:tc>
        <w:tc>
          <w:tcPr>
            <w:tcW w:w="170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97CBFC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/>
              <w:jc w:val="center"/>
              <w:rPr>
                <w:b/>
                <w:sz w:val="21"/>
                <w:szCs w:val="21"/>
              </w:rPr>
            </w:pPr>
            <w:r w:rsidRPr="004340F4">
              <w:rPr>
                <w:rFonts w:hint="eastAsia"/>
                <w:b/>
                <w:spacing w:val="1"/>
                <w:sz w:val="21"/>
                <w:szCs w:val="21"/>
              </w:rPr>
              <w:t>翻译方向</w:t>
            </w:r>
          </w:p>
        </w:tc>
        <w:tc>
          <w:tcPr>
            <w:tcW w:w="26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93D72" w14:textId="77777777" w:rsidR="00F85867" w:rsidRPr="00C80920" w:rsidRDefault="00F85867" w:rsidP="00F85867">
            <w:pPr>
              <w:pStyle w:val="TableParagraph"/>
              <w:kinsoku w:val="0"/>
              <w:overflowPunct w:val="0"/>
              <w:ind w:left="-2"/>
              <w:jc w:val="center"/>
              <w:rPr>
                <w:b/>
                <w:sz w:val="21"/>
                <w:szCs w:val="21"/>
              </w:rPr>
            </w:pPr>
            <w:r w:rsidRPr="004340F4">
              <w:rPr>
                <w:rFonts w:hint="eastAsia"/>
                <w:b/>
                <w:spacing w:val="1"/>
                <w:sz w:val="21"/>
                <w:szCs w:val="21"/>
              </w:rPr>
              <w:t>文件类型</w:t>
            </w:r>
          </w:p>
        </w:tc>
      </w:tr>
      <w:tr w:rsidR="00F85867" w:rsidRPr="00C80920" w14:paraId="67764C96" w14:textId="77777777" w:rsidTr="00367664">
        <w:trPr>
          <w:trHeight w:hRule="exact" w:val="492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91D21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1</w:t>
            </w:r>
          </w:p>
        </w:tc>
        <w:tc>
          <w:tcPr>
            <w:tcW w:w="170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F4073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英文翻中文</w:t>
            </w:r>
          </w:p>
        </w:tc>
        <w:tc>
          <w:tcPr>
            <w:tcW w:w="26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83DDE" w14:textId="4AB4799F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兽用生物制品类或医药类专业技术资料</w:t>
            </w:r>
          </w:p>
        </w:tc>
      </w:tr>
      <w:tr w:rsidR="00F85867" w:rsidRPr="00C80920" w14:paraId="6C3297D0" w14:textId="77777777" w:rsidTr="00367664">
        <w:trPr>
          <w:trHeight w:hRule="exact" w:val="425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512E0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2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91E2F0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中文翻英文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BB034" w14:textId="3D4BED88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医药专业技术类资料</w:t>
            </w:r>
          </w:p>
        </w:tc>
      </w:tr>
      <w:tr w:rsidR="00F85867" w:rsidRPr="00C80920" w14:paraId="6F71512C" w14:textId="77777777" w:rsidTr="00367664">
        <w:trPr>
          <w:trHeight w:hRule="exact" w:val="322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6E798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3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F94BF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英文翻中文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A5E32" w14:textId="24E442F0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医药法规类文件</w:t>
            </w:r>
          </w:p>
        </w:tc>
      </w:tr>
      <w:tr w:rsidR="00F85867" w:rsidRPr="00C80920" w14:paraId="2FCE5FB0" w14:textId="77777777" w:rsidTr="00367664">
        <w:trPr>
          <w:trHeight w:hRule="exact" w:val="361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400D7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4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E11BAF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中文翻英文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FF1C7" w14:textId="63E8C46E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医药法规类文件</w:t>
            </w:r>
          </w:p>
        </w:tc>
      </w:tr>
      <w:tr w:rsidR="00F85867" w:rsidRPr="00C80920" w14:paraId="3D09EF56" w14:textId="77777777" w:rsidTr="00367664">
        <w:trPr>
          <w:trHeight w:hRule="exact" w:val="464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9B13D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5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143E2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日文翻译中文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5FCF5" w14:textId="73C4A898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医药专业技术类资料</w:t>
            </w:r>
          </w:p>
        </w:tc>
      </w:tr>
      <w:tr w:rsidR="00F85867" w:rsidRPr="00C80920" w14:paraId="2FF9A8A2" w14:textId="77777777" w:rsidTr="00367664">
        <w:trPr>
          <w:trHeight w:hRule="exact" w:val="428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F9DA5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6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BF8FE4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英翻中审校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00C94" w14:textId="5A84B9FE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医药专业技术类资料</w:t>
            </w:r>
          </w:p>
        </w:tc>
      </w:tr>
      <w:tr w:rsidR="00F85867" w:rsidRPr="00C80920" w14:paraId="7AD4FF42" w14:textId="77777777" w:rsidTr="00367664">
        <w:trPr>
          <w:trHeight w:hRule="exact" w:val="421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72984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7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07E8D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中翻英审校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53B9A6" w14:textId="30E018F8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医药专业技术类资料</w:t>
            </w:r>
          </w:p>
        </w:tc>
      </w:tr>
      <w:tr w:rsidR="00F85867" w:rsidRPr="00C80920" w14:paraId="459F6489" w14:textId="77777777" w:rsidTr="00367664">
        <w:trPr>
          <w:trHeight w:hRule="exact" w:val="427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17CD6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8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2F134E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韩、德</w:t>
            </w:r>
            <w:r w:rsidRPr="00C80920">
              <w:rPr>
                <w:rFonts w:hint="eastAsia"/>
                <w:spacing w:val="-2"/>
                <w:sz w:val="21"/>
                <w:szCs w:val="21"/>
              </w:rPr>
              <w:t>、</w:t>
            </w:r>
            <w:r w:rsidRPr="00C80920">
              <w:rPr>
                <w:rFonts w:hint="eastAsia"/>
                <w:sz w:val="21"/>
                <w:szCs w:val="21"/>
              </w:rPr>
              <w:t>法</w:t>
            </w:r>
            <w:r w:rsidRPr="00C80920">
              <w:rPr>
                <w:rFonts w:hint="eastAsia"/>
                <w:spacing w:val="-2"/>
                <w:sz w:val="21"/>
                <w:szCs w:val="21"/>
              </w:rPr>
              <w:t>、</w:t>
            </w:r>
            <w:r w:rsidRPr="00C80920">
              <w:rPr>
                <w:rFonts w:hint="eastAsia"/>
                <w:sz w:val="21"/>
                <w:szCs w:val="21"/>
              </w:rPr>
              <w:t>俄翻中文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470F4" w14:textId="202AB7D0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r w:rsidR="00F85867" w:rsidRPr="00C80920">
              <w:rPr>
                <w:rFonts w:hint="eastAsia"/>
                <w:sz w:val="21"/>
                <w:szCs w:val="21"/>
              </w:rPr>
              <w:t>医药专业技术类资料</w:t>
            </w:r>
          </w:p>
        </w:tc>
      </w:tr>
      <w:tr w:rsidR="00F85867" w:rsidRPr="00C80920" w14:paraId="76CD0110" w14:textId="77777777" w:rsidTr="00367664">
        <w:trPr>
          <w:trHeight w:hRule="exact" w:val="702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0A906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407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9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10912" w14:textId="77777777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意大利语、西班牙语</w:t>
            </w:r>
            <w:r w:rsidRPr="00C80920">
              <w:rPr>
                <w:rFonts w:hint="eastAsia"/>
                <w:spacing w:val="-5"/>
                <w:sz w:val="21"/>
                <w:szCs w:val="21"/>
              </w:rPr>
              <w:t>、</w:t>
            </w:r>
            <w:r w:rsidRPr="00C80920">
              <w:rPr>
                <w:rFonts w:hint="eastAsia"/>
                <w:sz w:val="21"/>
                <w:szCs w:val="21"/>
              </w:rPr>
              <w:t>葡萄牙语翻中文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5D2BB" w14:textId="21DA789C" w:rsidR="00F85867" w:rsidRPr="00C80920" w:rsidRDefault="00367664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兽用生物制品类或</w:t>
            </w:r>
            <w:bookmarkStart w:id="0" w:name="_GoBack"/>
            <w:bookmarkEnd w:id="0"/>
            <w:r w:rsidR="00F85867" w:rsidRPr="00C80920">
              <w:rPr>
                <w:rFonts w:hint="eastAsia"/>
                <w:sz w:val="21"/>
                <w:szCs w:val="21"/>
              </w:rPr>
              <w:t>医药专业技术类资料</w:t>
            </w:r>
          </w:p>
        </w:tc>
      </w:tr>
      <w:tr w:rsidR="00F85867" w:rsidRPr="00C80920" w14:paraId="1ABA1276" w14:textId="77777777" w:rsidTr="00367664">
        <w:trPr>
          <w:trHeight w:hRule="exact" w:val="322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EBE25" w14:textId="0438E7DD" w:rsidR="00F85867" w:rsidRPr="00C80920" w:rsidRDefault="00F85867" w:rsidP="005A21A6">
            <w:pPr>
              <w:pStyle w:val="TableParagraph"/>
              <w:kinsoku w:val="0"/>
              <w:overflowPunct w:val="0"/>
              <w:ind w:left="-2" w:right="351"/>
              <w:jc w:val="center"/>
              <w:rPr>
                <w:spacing w:val="-1"/>
                <w:sz w:val="21"/>
                <w:szCs w:val="21"/>
              </w:rPr>
            </w:pPr>
            <w:r w:rsidRPr="00C80920">
              <w:rPr>
                <w:spacing w:val="-1"/>
                <w:sz w:val="21"/>
                <w:szCs w:val="21"/>
              </w:rPr>
              <w:t>10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6AAF" w14:textId="25FEE430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中翻英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67BDC" w14:textId="11DA5762" w:rsidR="00F85867" w:rsidRPr="00C80920" w:rsidRDefault="00F85867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P</w:t>
            </w:r>
            <w:r w:rsidRPr="00C80920">
              <w:rPr>
                <w:spacing w:val="-1"/>
                <w:sz w:val="21"/>
                <w:szCs w:val="21"/>
              </w:rPr>
              <w:t>P</w:t>
            </w:r>
            <w:r w:rsidRPr="00C80920">
              <w:rPr>
                <w:sz w:val="21"/>
                <w:szCs w:val="21"/>
              </w:rPr>
              <w:t>T</w:t>
            </w:r>
            <w:r w:rsidRPr="00C80920">
              <w:rPr>
                <w:spacing w:val="-24"/>
                <w:sz w:val="21"/>
                <w:szCs w:val="21"/>
              </w:rPr>
              <w:t xml:space="preserve"> </w:t>
            </w:r>
            <w:r w:rsidRPr="00C80920">
              <w:rPr>
                <w:rFonts w:hint="eastAsia"/>
                <w:sz w:val="21"/>
                <w:szCs w:val="21"/>
              </w:rPr>
              <w:t>文件</w:t>
            </w:r>
          </w:p>
        </w:tc>
      </w:tr>
      <w:tr w:rsidR="00F85867" w:rsidRPr="00C80920" w14:paraId="09017B46" w14:textId="77777777" w:rsidTr="00367664">
        <w:trPr>
          <w:trHeight w:hRule="exact" w:val="322"/>
        </w:trPr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30165" w14:textId="77777777" w:rsidR="00F85867" w:rsidRPr="00C80920" w:rsidRDefault="00F85867" w:rsidP="005A21A6">
            <w:pPr>
              <w:pStyle w:val="TableParagraph"/>
              <w:kinsoku w:val="0"/>
              <w:overflowPunct w:val="0"/>
              <w:ind w:left="-2" w:right="351"/>
              <w:jc w:val="center"/>
              <w:rPr>
                <w:spacing w:val="-1"/>
                <w:sz w:val="21"/>
                <w:szCs w:val="21"/>
              </w:rPr>
            </w:pPr>
            <w:r w:rsidRPr="00C80920">
              <w:rPr>
                <w:spacing w:val="-1"/>
                <w:sz w:val="21"/>
                <w:szCs w:val="21"/>
              </w:rPr>
              <w:t>11</w:t>
            </w:r>
          </w:p>
        </w:tc>
        <w:tc>
          <w:tcPr>
            <w:tcW w:w="1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9794D" w14:textId="1EF8FB54" w:rsidR="00F85867" w:rsidRPr="00C80920" w:rsidRDefault="00F85867" w:rsidP="005A21A6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 w:rsidRPr="00C80920">
              <w:rPr>
                <w:rFonts w:hint="eastAsia"/>
                <w:sz w:val="21"/>
                <w:szCs w:val="21"/>
              </w:rPr>
              <w:t>英翻中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5151" w14:textId="35D09BE2" w:rsidR="00F85867" w:rsidRPr="00C80920" w:rsidRDefault="00F85867" w:rsidP="00F85867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C80920">
              <w:rPr>
                <w:sz w:val="21"/>
                <w:szCs w:val="21"/>
              </w:rPr>
              <w:t>P</w:t>
            </w:r>
            <w:r w:rsidRPr="00C80920">
              <w:rPr>
                <w:spacing w:val="-1"/>
                <w:sz w:val="21"/>
                <w:szCs w:val="21"/>
              </w:rPr>
              <w:t>P</w:t>
            </w:r>
            <w:r w:rsidRPr="00C80920">
              <w:rPr>
                <w:sz w:val="21"/>
                <w:szCs w:val="21"/>
              </w:rPr>
              <w:t>T</w:t>
            </w:r>
            <w:r w:rsidRPr="00C80920">
              <w:rPr>
                <w:spacing w:val="-25"/>
                <w:sz w:val="21"/>
                <w:szCs w:val="21"/>
              </w:rPr>
              <w:t xml:space="preserve"> </w:t>
            </w:r>
            <w:r w:rsidRPr="00C80920">
              <w:rPr>
                <w:rFonts w:hint="eastAsia"/>
                <w:sz w:val="21"/>
                <w:szCs w:val="21"/>
              </w:rPr>
              <w:t>文件</w:t>
            </w:r>
          </w:p>
        </w:tc>
      </w:tr>
    </w:tbl>
    <w:p w14:paraId="6097AE42" w14:textId="77777777" w:rsidR="00DF03B6" w:rsidRPr="00F85867" w:rsidRDefault="00DF03B6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14:paraId="3F0D5EE9" w14:textId="3D60CCDA" w:rsidR="0098247A" w:rsidRPr="004340F4" w:rsidRDefault="0098247A" w:rsidP="0098247A">
      <w:pPr>
        <w:widowControl/>
        <w:snapToGrid w:val="0"/>
        <w:spacing w:before="120" w:after="120" w:line="276" w:lineRule="auto"/>
        <w:rPr>
          <w:sz w:val="22"/>
        </w:rPr>
      </w:pPr>
      <w:r w:rsidRPr="004340F4">
        <w:rPr>
          <w:rFonts w:hint="eastAsia"/>
          <w:b/>
          <w:sz w:val="22"/>
        </w:rPr>
        <w:t>附件</w:t>
      </w:r>
      <w:r w:rsidR="00F85867">
        <w:rPr>
          <w:rFonts w:hint="eastAsia"/>
          <w:b/>
          <w:sz w:val="22"/>
        </w:rPr>
        <w:t>二</w:t>
      </w:r>
      <w:r w:rsidRPr="004340F4">
        <w:rPr>
          <w:rFonts w:hint="eastAsia"/>
          <w:b/>
          <w:sz w:val="22"/>
        </w:rPr>
        <w:t>：语言翻译</w:t>
      </w:r>
      <w:r w:rsidR="009C6C38">
        <w:rPr>
          <w:rFonts w:hint="eastAsia"/>
          <w:b/>
          <w:sz w:val="22"/>
        </w:rPr>
        <w:t>要求</w:t>
      </w:r>
    </w:p>
    <w:tbl>
      <w:tblPr>
        <w:tblStyle w:val="-2"/>
        <w:tblW w:w="5000" w:type="pct"/>
        <w:tblLook w:val="04A0" w:firstRow="1" w:lastRow="0" w:firstColumn="1" w:lastColumn="0" w:noHBand="0" w:noVBand="1"/>
      </w:tblPr>
      <w:tblGrid>
        <w:gridCol w:w="1450"/>
        <w:gridCol w:w="6836"/>
      </w:tblGrid>
      <w:tr w:rsidR="0098247A" w:rsidRPr="00C80920" w14:paraId="12686063" w14:textId="77777777" w:rsidTr="0057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</w:tcPr>
          <w:p w14:paraId="7EFEDCC5" w14:textId="77777777" w:rsidR="0098247A" w:rsidRPr="004340F4" w:rsidRDefault="0098247A" w:rsidP="005774CB">
            <w:pPr>
              <w:jc w:val="center"/>
              <w:rPr>
                <w:b w:val="0"/>
                <w:sz w:val="32"/>
                <w:szCs w:val="44"/>
              </w:rPr>
            </w:pPr>
            <w:r w:rsidRPr="004340F4">
              <w:rPr>
                <w:rFonts w:hint="eastAsia"/>
                <w:sz w:val="32"/>
                <w:szCs w:val="44"/>
              </w:rPr>
              <w:t>语言翻译质量标准</w:t>
            </w:r>
          </w:p>
        </w:tc>
      </w:tr>
      <w:tr w:rsidR="0098247A" w:rsidRPr="00C80920" w14:paraId="3D96174C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shd w:val="clear" w:color="auto" w:fill="D9D9D9" w:themeFill="background1" w:themeFillShade="D9"/>
            <w:noWrap/>
            <w:hideMark/>
          </w:tcPr>
          <w:p w14:paraId="49468251" w14:textId="77777777" w:rsidR="0098247A" w:rsidRPr="004340F4" w:rsidRDefault="0098247A" w:rsidP="005774CB">
            <w:pPr>
              <w:jc w:val="center"/>
              <w:rPr>
                <w:sz w:val="22"/>
              </w:rPr>
            </w:pPr>
            <w:bookmarkStart w:id="1" w:name="RANGE!A2"/>
            <w:r w:rsidRPr="004340F4">
              <w:rPr>
                <w:rFonts w:hint="eastAsia"/>
                <w:sz w:val="22"/>
              </w:rPr>
              <w:t>错误级别</w:t>
            </w:r>
            <w:bookmarkEnd w:id="1"/>
          </w:p>
        </w:tc>
        <w:tc>
          <w:tcPr>
            <w:tcW w:w="4125" w:type="pct"/>
            <w:shd w:val="clear" w:color="auto" w:fill="D9D9D9" w:themeFill="background1" w:themeFillShade="D9"/>
            <w:noWrap/>
            <w:hideMark/>
          </w:tcPr>
          <w:p w14:paraId="31023ACA" w14:textId="77777777" w:rsidR="0098247A" w:rsidRPr="004340F4" w:rsidRDefault="0098247A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340F4">
              <w:rPr>
                <w:rFonts w:hint="eastAsia"/>
                <w:b/>
                <w:bCs/>
                <w:sz w:val="22"/>
              </w:rPr>
              <w:t>定义</w:t>
            </w:r>
          </w:p>
        </w:tc>
      </w:tr>
      <w:tr w:rsidR="0098247A" w:rsidRPr="00C80920" w14:paraId="2967538F" w14:textId="77777777" w:rsidTr="005774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hideMark/>
          </w:tcPr>
          <w:p w14:paraId="42089620" w14:textId="339ECE8E" w:rsidR="0098247A" w:rsidRPr="004340F4" w:rsidRDefault="0098247A" w:rsidP="005774CB">
            <w:pPr>
              <w:snapToGrid w:val="0"/>
              <w:jc w:val="center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原文错误</w:t>
            </w:r>
          </w:p>
        </w:tc>
        <w:tc>
          <w:tcPr>
            <w:tcW w:w="4125" w:type="pct"/>
            <w:hideMark/>
          </w:tcPr>
          <w:p w14:paraId="5E742975" w14:textId="32925A4B" w:rsidR="0098247A" w:rsidRPr="004340F4" w:rsidRDefault="0098247A" w:rsidP="005774C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问题不是来源于翻译本身。如源文缺陷，翻译完成后要求变更。。</w:t>
            </w:r>
          </w:p>
        </w:tc>
      </w:tr>
      <w:tr w:rsidR="0098247A" w:rsidRPr="00C80920" w14:paraId="5C0D715E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hideMark/>
          </w:tcPr>
          <w:p w14:paraId="7BFD578F" w14:textId="77777777" w:rsidR="0098247A" w:rsidRPr="004340F4" w:rsidRDefault="0098247A" w:rsidP="005774CB">
            <w:pPr>
              <w:snapToGrid w:val="0"/>
              <w:jc w:val="center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建议性</w:t>
            </w:r>
            <w:r w:rsidRPr="004340F4">
              <w:rPr>
                <w:color w:val="000000" w:themeColor="text1"/>
              </w:rPr>
              <w:br/>
            </w:r>
          </w:p>
        </w:tc>
        <w:tc>
          <w:tcPr>
            <w:tcW w:w="4125" w:type="pct"/>
            <w:hideMark/>
          </w:tcPr>
          <w:p w14:paraId="4114F525" w14:textId="6E66F939" w:rsidR="0098247A" w:rsidRPr="004340F4" w:rsidRDefault="0098247A" w:rsidP="005774C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与对错无关，仅为可使译文更完美的建议性质。</w:t>
            </w:r>
            <w:r w:rsidRPr="004340F4">
              <w:rPr>
                <w:color w:val="000000" w:themeColor="text1"/>
              </w:rPr>
              <w:br/>
            </w:r>
          </w:p>
        </w:tc>
      </w:tr>
      <w:tr w:rsidR="0098247A" w:rsidRPr="00C80920" w14:paraId="2FCED904" w14:textId="77777777" w:rsidTr="005774C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hideMark/>
          </w:tcPr>
          <w:p w14:paraId="0AC316B1" w14:textId="77777777" w:rsidR="0098247A" w:rsidRPr="004340F4" w:rsidRDefault="0098247A" w:rsidP="005774CB">
            <w:pPr>
              <w:snapToGrid w:val="0"/>
              <w:jc w:val="center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轻度错误</w:t>
            </w:r>
          </w:p>
        </w:tc>
        <w:tc>
          <w:tcPr>
            <w:tcW w:w="4125" w:type="pct"/>
            <w:hideMark/>
          </w:tcPr>
          <w:p w14:paraId="794A3B38" w14:textId="1276AF1F" w:rsidR="0098247A" w:rsidRPr="004340F4" w:rsidRDefault="0098247A" w:rsidP="005774C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轻度的翻译错误。这类错误，可以被读者理解，但需要做进一步的改进，包括但不限于字体、标点符号、过多修饰的长句等。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重复的错误不予计算。</w:t>
            </w:r>
          </w:p>
        </w:tc>
      </w:tr>
      <w:tr w:rsidR="0098247A" w:rsidRPr="00C80920" w14:paraId="37A39C23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hideMark/>
          </w:tcPr>
          <w:p w14:paraId="2D684A18" w14:textId="77777777" w:rsidR="0098247A" w:rsidRPr="004340F4" w:rsidRDefault="0098247A" w:rsidP="005774CB">
            <w:pPr>
              <w:snapToGrid w:val="0"/>
              <w:jc w:val="center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重要错误</w:t>
            </w:r>
          </w:p>
        </w:tc>
        <w:tc>
          <w:tcPr>
            <w:tcW w:w="4125" w:type="pct"/>
            <w:hideMark/>
          </w:tcPr>
          <w:p w14:paraId="14EF33D1" w14:textId="3691992C" w:rsidR="0098247A" w:rsidRPr="004340F4" w:rsidRDefault="0098247A" w:rsidP="005774C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一般性误译：可读性差并引发误导的翻译。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在整个文件中措辞不一致。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重复的错误不予计算。</w:t>
            </w:r>
          </w:p>
        </w:tc>
      </w:tr>
      <w:tr w:rsidR="0098247A" w:rsidRPr="00C80920" w14:paraId="738E3C31" w14:textId="77777777" w:rsidTr="005774CB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pct"/>
            <w:hideMark/>
          </w:tcPr>
          <w:p w14:paraId="1AA9C1EF" w14:textId="77777777" w:rsidR="0098247A" w:rsidRPr="004340F4" w:rsidRDefault="0098247A" w:rsidP="005774CB">
            <w:pPr>
              <w:snapToGrid w:val="0"/>
              <w:jc w:val="center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重大错误</w:t>
            </w:r>
            <w:r w:rsidRPr="004340F4">
              <w:rPr>
                <w:color w:val="000000" w:themeColor="text1"/>
              </w:rPr>
              <w:br/>
            </w:r>
          </w:p>
        </w:tc>
        <w:tc>
          <w:tcPr>
            <w:tcW w:w="4125" w:type="pct"/>
            <w:hideMark/>
          </w:tcPr>
          <w:p w14:paraId="7D81B1C8" w14:textId="511AA065" w:rsidR="0098247A" w:rsidRPr="004340F4" w:rsidRDefault="0098247A" w:rsidP="005774C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40F4">
              <w:rPr>
                <w:color w:val="000000" w:themeColor="text1"/>
              </w:rPr>
              <w:t>重大误译，逻辑不通，句意不明，完全逐词照搬的翻译。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术语使用与术语库不一致。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未严格按照</w:t>
            </w:r>
            <w:r w:rsidRPr="004340F4">
              <w:rPr>
                <w:color w:val="000000" w:themeColor="text1"/>
              </w:rPr>
              <w:t>QA</w:t>
            </w:r>
            <w:r w:rsidRPr="004340F4">
              <w:rPr>
                <w:color w:val="000000" w:themeColor="text1"/>
              </w:rPr>
              <w:t>反馈，提问回复及客户要求进行翻译。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疏忽导致的错误（错别字、漏译等）。</w:t>
            </w:r>
            <w:r w:rsidRPr="004340F4">
              <w:rPr>
                <w:color w:val="000000" w:themeColor="text1"/>
              </w:rPr>
              <w:br/>
            </w:r>
            <w:r w:rsidRPr="004340F4">
              <w:rPr>
                <w:color w:val="000000" w:themeColor="text1"/>
              </w:rPr>
              <w:t>重复的错误需重复计算。</w:t>
            </w:r>
          </w:p>
        </w:tc>
      </w:tr>
    </w:tbl>
    <w:p w14:paraId="32A80B6E" w14:textId="77777777" w:rsidR="0098247A" w:rsidRPr="004340F4" w:rsidRDefault="0098247A" w:rsidP="0098247A">
      <w:pPr>
        <w:adjustRightInd w:val="0"/>
        <w:snapToGrid w:val="0"/>
        <w:jc w:val="center"/>
        <w:rPr>
          <w:b/>
          <w:color w:val="000000" w:themeColor="text1"/>
          <w:sz w:val="20"/>
        </w:rPr>
      </w:pPr>
    </w:p>
    <w:p w14:paraId="73CB3687" w14:textId="15A1C1C8" w:rsidR="0098247A" w:rsidRDefault="0098247A" w:rsidP="0098247A">
      <w:pPr>
        <w:adjustRightInd w:val="0"/>
        <w:snapToGrid w:val="0"/>
        <w:rPr>
          <w:b/>
          <w:color w:val="000000" w:themeColor="text1"/>
          <w:sz w:val="20"/>
        </w:rPr>
      </w:pPr>
    </w:p>
    <w:p w14:paraId="7993C7DB" w14:textId="35671139" w:rsidR="00F85867" w:rsidRDefault="00F85867" w:rsidP="0098247A">
      <w:pPr>
        <w:adjustRightInd w:val="0"/>
        <w:snapToGrid w:val="0"/>
        <w:rPr>
          <w:b/>
          <w:color w:val="000000" w:themeColor="text1"/>
          <w:sz w:val="20"/>
        </w:rPr>
      </w:pPr>
    </w:p>
    <w:p w14:paraId="4E0C8A81" w14:textId="77777777" w:rsidR="00F85867" w:rsidRPr="004340F4" w:rsidRDefault="00F85867" w:rsidP="0098247A">
      <w:pPr>
        <w:adjustRightInd w:val="0"/>
        <w:snapToGrid w:val="0"/>
        <w:rPr>
          <w:b/>
          <w:color w:val="000000" w:themeColor="text1"/>
          <w:sz w:val="20"/>
        </w:rPr>
      </w:pPr>
    </w:p>
    <w:tbl>
      <w:tblPr>
        <w:tblStyle w:val="-2"/>
        <w:tblW w:w="5000" w:type="pct"/>
        <w:tblLook w:val="04A0" w:firstRow="1" w:lastRow="0" w:firstColumn="1" w:lastColumn="0" w:noHBand="0" w:noVBand="1"/>
      </w:tblPr>
      <w:tblGrid>
        <w:gridCol w:w="1356"/>
        <w:gridCol w:w="6930"/>
      </w:tblGrid>
      <w:tr w:rsidR="0098247A" w:rsidRPr="00C80920" w14:paraId="3FF4396E" w14:textId="77777777" w:rsidTr="0057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</w:tcPr>
          <w:p w14:paraId="55F7C264" w14:textId="77777777" w:rsidR="0098247A" w:rsidRPr="004340F4" w:rsidRDefault="0098247A" w:rsidP="005774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40F4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类别</w:t>
            </w:r>
          </w:p>
        </w:tc>
        <w:tc>
          <w:tcPr>
            <w:tcW w:w="3973" w:type="pct"/>
            <w:noWrap/>
          </w:tcPr>
          <w:p w14:paraId="1CE95F28" w14:textId="77777777" w:rsidR="0098247A" w:rsidRPr="004340F4" w:rsidRDefault="0098247A" w:rsidP="00577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340F4">
              <w:rPr>
                <w:rFonts w:hint="eastAsia"/>
                <w:color w:val="000000" w:themeColor="text1"/>
                <w:sz w:val="22"/>
                <w:szCs w:val="22"/>
              </w:rPr>
              <w:t>描述</w:t>
            </w:r>
          </w:p>
        </w:tc>
      </w:tr>
      <w:tr w:rsidR="0098247A" w:rsidRPr="00C80920" w14:paraId="586D0CFE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hideMark/>
          </w:tcPr>
          <w:p w14:paraId="174BF7C5" w14:textId="77777777" w:rsidR="0098247A" w:rsidRPr="004340F4" w:rsidRDefault="0098247A" w:rsidP="005774CB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340F4">
              <w:rPr>
                <w:color w:val="000000" w:themeColor="text1"/>
                <w:sz w:val="22"/>
                <w:szCs w:val="22"/>
              </w:rPr>
              <w:t>准确性</w:t>
            </w:r>
          </w:p>
        </w:tc>
      </w:tr>
      <w:tr w:rsidR="0098247A" w:rsidRPr="00C80920" w14:paraId="224BEB57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6A98509A" w14:textId="77777777" w:rsidR="0098247A" w:rsidRPr="004340F4" w:rsidRDefault="0098247A" w:rsidP="005774CB">
            <w:pPr>
              <w:snapToGrid w:val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错译</w:t>
            </w:r>
          </w:p>
        </w:tc>
        <w:tc>
          <w:tcPr>
            <w:tcW w:w="3973" w:type="pct"/>
            <w:hideMark/>
          </w:tcPr>
          <w:p w14:paraId="70590619" w14:textId="77777777" w:rsidR="0098247A" w:rsidRPr="004340F4" w:rsidRDefault="0098247A" w:rsidP="005774C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译文未能准确表达原文意思。</w:t>
            </w:r>
          </w:p>
        </w:tc>
      </w:tr>
      <w:tr w:rsidR="0098247A" w:rsidRPr="00C80920" w14:paraId="6ABB2AA4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55901EA1" w14:textId="77777777" w:rsidR="0098247A" w:rsidRPr="004340F4" w:rsidRDefault="0098247A" w:rsidP="005774CB">
            <w:pPr>
              <w:snapToGrid w:val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漏译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多译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冗译</w:t>
            </w:r>
          </w:p>
        </w:tc>
        <w:tc>
          <w:tcPr>
            <w:tcW w:w="3973" w:type="pct"/>
            <w:hideMark/>
          </w:tcPr>
          <w:p w14:paraId="14F3DEE8" w14:textId="77777777" w:rsidR="0098247A" w:rsidRPr="004340F4" w:rsidRDefault="0098247A" w:rsidP="005774C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译文并未出现在原文中；译文增添了内容；译文中未能删除原文冗长的内容。</w:t>
            </w:r>
          </w:p>
        </w:tc>
      </w:tr>
      <w:tr w:rsidR="0098247A" w:rsidRPr="00C80920" w14:paraId="71404343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295FD6E8" w14:textId="77777777" w:rsidR="0098247A" w:rsidRPr="004340F4" w:rsidRDefault="0098247A" w:rsidP="005774CB">
            <w:pPr>
              <w:snapToGrid w:val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漏译</w:t>
            </w:r>
          </w:p>
        </w:tc>
        <w:tc>
          <w:tcPr>
            <w:tcW w:w="3973" w:type="pct"/>
            <w:hideMark/>
          </w:tcPr>
          <w:p w14:paraId="5CC44963" w14:textId="77777777" w:rsidR="0098247A" w:rsidRPr="004340F4" w:rsidRDefault="0098247A" w:rsidP="005774C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译文中包含未译的单词（字）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句子。</w:t>
            </w:r>
          </w:p>
        </w:tc>
      </w:tr>
      <w:tr w:rsidR="0098247A" w:rsidRPr="00C80920" w14:paraId="60048AA0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49615B8C" w14:textId="77777777" w:rsidR="0098247A" w:rsidRPr="004340F4" w:rsidRDefault="0098247A" w:rsidP="005774CB">
            <w:pPr>
              <w:snapToGrid w:val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翻译了不该翻译的内容</w:t>
            </w:r>
          </w:p>
        </w:tc>
        <w:tc>
          <w:tcPr>
            <w:tcW w:w="3973" w:type="pct"/>
            <w:hideMark/>
          </w:tcPr>
          <w:p w14:paraId="3701ED97" w14:textId="77777777" w:rsidR="0098247A" w:rsidRPr="004340F4" w:rsidRDefault="0098247A" w:rsidP="005774C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翻译了无需翻译的内容（代码、地址等）。</w:t>
            </w:r>
          </w:p>
        </w:tc>
      </w:tr>
      <w:tr w:rsidR="0098247A" w:rsidRPr="00C80920" w14:paraId="4E4B458B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294714FC" w14:textId="77777777" w:rsidR="0098247A" w:rsidRPr="004340F4" w:rsidRDefault="0098247A" w:rsidP="005774CB">
            <w:pPr>
              <w:snapToGrid w:val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不准确</w:t>
            </w:r>
          </w:p>
        </w:tc>
        <w:tc>
          <w:tcPr>
            <w:tcW w:w="3973" w:type="pct"/>
            <w:hideMark/>
          </w:tcPr>
          <w:p w14:paraId="26FCE0DD" w14:textId="77777777" w:rsidR="0098247A" w:rsidRPr="004340F4" w:rsidRDefault="0098247A" w:rsidP="005774C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译文未能正确反映原文中的各种细微差别。</w:t>
            </w:r>
          </w:p>
        </w:tc>
      </w:tr>
      <w:tr w:rsidR="0098247A" w:rsidRPr="00C80920" w14:paraId="2AF141F1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38B7B55F" w14:textId="77777777" w:rsidR="0098247A" w:rsidRPr="004340F4" w:rsidRDefault="0098247A" w:rsidP="005774CB">
            <w:pPr>
              <w:snapToGrid w:val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前后不一致</w:t>
            </w:r>
          </w:p>
        </w:tc>
        <w:tc>
          <w:tcPr>
            <w:tcW w:w="3973" w:type="pct"/>
            <w:hideMark/>
          </w:tcPr>
          <w:p w14:paraId="7AB5C91C" w14:textId="77777777" w:rsidR="0098247A" w:rsidRPr="004340F4" w:rsidRDefault="0098247A" w:rsidP="005774CB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译文未与已有翻译及翻译记忆库保持一致。译文中的交叉引用以及其他参考文献未与相关文本保持一致。</w:t>
            </w:r>
          </w:p>
        </w:tc>
      </w:tr>
      <w:tr w:rsidR="0098247A" w:rsidRPr="00C80920" w14:paraId="154E7D11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047B7D51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数据错译</w:t>
            </w:r>
          </w:p>
        </w:tc>
        <w:tc>
          <w:tcPr>
            <w:tcW w:w="3973" w:type="pct"/>
            <w:hideMark/>
          </w:tcPr>
          <w:p w14:paraId="108339D6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译文中的数据与原文中数据不符。</w:t>
            </w:r>
          </w:p>
        </w:tc>
      </w:tr>
      <w:tr w:rsidR="0098247A" w:rsidRPr="00C80920" w14:paraId="69AD4679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7F20C319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拼写错误</w:t>
            </w:r>
          </w:p>
        </w:tc>
        <w:tc>
          <w:tcPr>
            <w:tcW w:w="3973" w:type="pct"/>
            <w:hideMark/>
          </w:tcPr>
          <w:p w14:paraId="26E992B1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单词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字拼写错误。</w:t>
            </w:r>
          </w:p>
        </w:tc>
      </w:tr>
      <w:tr w:rsidR="0098247A" w:rsidRPr="00C80920" w14:paraId="3048932F" w14:textId="77777777" w:rsidTr="005774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hideMark/>
          </w:tcPr>
          <w:p w14:paraId="3775764F" w14:textId="77777777" w:rsidR="0098247A" w:rsidRPr="004340F4" w:rsidRDefault="0098247A" w:rsidP="005774CB">
            <w:pPr>
              <w:jc w:val="center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 w:val="22"/>
                <w:szCs w:val="22"/>
              </w:rPr>
              <w:t>语言及风格</w:t>
            </w:r>
          </w:p>
        </w:tc>
      </w:tr>
      <w:tr w:rsidR="0098247A" w:rsidRPr="00C80920" w14:paraId="372D40F1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6B434DC9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语法及句法</w:t>
            </w:r>
          </w:p>
        </w:tc>
        <w:tc>
          <w:tcPr>
            <w:tcW w:w="3973" w:type="pct"/>
            <w:noWrap/>
            <w:hideMark/>
          </w:tcPr>
          <w:p w14:paraId="100BFE73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译文未遵守目标语言有关语法或句法的具体规则以及语言风格。</w:t>
            </w:r>
          </w:p>
        </w:tc>
      </w:tr>
      <w:tr w:rsidR="0098247A" w:rsidRPr="00C80920" w14:paraId="2EBDED81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5E213C1C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措辞</w:t>
            </w:r>
          </w:p>
        </w:tc>
        <w:tc>
          <w:tcPr>
            <w:tcW w:w="3973" w:type="pct"/>
            <w:noWrap/>
            <w:hideMark/>
          </w:tcPr>
          <w:p w14:paraId="3C0BE0DA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措辞与上下文不符。</w:t>
            </w:r>
          </w:p>
        </w:tc>
      </w:tr>
      <w:tr w:rsidR="0098247A" w:rsidRPr="00C80920" w14:paraId="41EC23B0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474D2D54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可读性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表达</w:t>
            </w:r>
          </w:p>
        </w:tc>
        <w:tc>
          <w:tcPr>
            <w:tcW w:w="3973" w:type="pct"/>
            <w:noWrap/>
            <w:hideMark/>
          </w:tcPr>
          <w:p w14:paraId="76D0C395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译文未参照原文，导致读者或最终用户难于理解。</w:t>
            </w:r>
          </w:p>
        </w:tc>
      </w:tr>
      <w:tr w:rsidR="0098247A" w:rsidRPr="00C80920" w14:paraId="7291F177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1B21FAD2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文风</w:t>
            </w:r>
          </w:p>
        </w:tc>
        <w:tc>
          <w:tcPr>
            <w:tcW w:w="3973" w:type="pct"/>
            <w:noWrap/>
            <w:hideMark/>
          </w:tcPr>
          <w:p w14:paraId="01A002A4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语言风格或措辞不符合特定行业的风格。</w:t>
            </w:r>
          </w:p>
        </w:tc>
      </w:tr>
      <w:tr w:rsidR="0098247A" w:rsidRPr="00C80920" w14:paraId="7E1DB2C7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63E962A8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关于歧视</w:t>
            </w:r>
          </w:p>
        </w:tc>
        <w:tc>
          <w:tcPr>
            <w:tcW w:w="3973" w:type="pct"/>
            <w:noWrap/>
            <w:hideMark/>
          </w:tcPr>
          <w:p w14:paraId="0B7AB927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涉及种族、性别、职业、信仰、残疾等内容时措辞不当。</w:t>
            </w:r>
          </w:p>
        </w:tc>
      </w:tr>
      <w:tr w:rsidR="0098247A" w:rsidRPr="00C80920" w14:paraId="2D1ED12F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5460838A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风格指南</w:t>
            </w:r>
          </w:p>
        </w:tc>
        <w:tc>
          <w:tcPr>
            <w:tcW w:w="3973" w:type="pct"/>
            <w:noWrap/>
            <w:hideMark/>
          </w:tcPr>
          <w:p w14:paraId="15A319BB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没有根据</w:t>
            </w:r>
            <w:r w:rsidRPr="004340F4">
              <w:rPr>
                <w:rFonts w:hint="eastAsia"/>
                <w:color w:val="000000" w:themeColor="text1"/>
                <w:szCs w:val="22"/>
              </w:rPr>
              <w:t>甲方</w:t>
            </w:r>
            <w:r w:rsidRPr="004340F4">
              <w:rPr>
                <w:color w:val="000000" w:themeColor="text1"/>
                <w:szCs w:val="22"/>
              </w:rPr>
              <w:t>提供的风格指南进行翻译。</w:t>
            </w:r>
          </w:p>
        </w:tc>
      </w:tr>
      <w:tr w:rsidR="0098247A" w:rsidRPr="00C80920" w14:paraId="4F9BE327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124BBF09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约定条款</w:t>
            </w:r>
          </w:p>
        </w:tc>
        <w:tc>
          <w:tcPr>
            <w:tcW w:w="3973" w:type="pct"/>
            <w:noWrap/>
            <w:hideMark/>
          </w:tcPr>
          <w:p w14:paraId="7EEC7044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译文不符合各国家的标准约定（日期格式、货币单位、度量单位等），不符合语言习惯。</w:t>
            </w:r>
          </w:p>
        </w:tc>
      </w:tr>
      <w:tr w:rsidR="0098247A" w:rsidRPr="00C80920" w14:paraId="2D9EB39F" w14:textId="77777777" w:rsidTr="005774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hideMark/>
          </w:tcPr>
          <w:p w14:paraId="2A663226" w14:textId="77777777" w:rsidR="0098247A" w:rsidRPr="004340F4" w:rsidRDefault="0098247A" w:rsidP="005774CB">
            <w:pPr>
              <w:jc w:val="center"/>
              <w:rPr>
                <w:b w:val="0"/>
                <w:bCs w:val="0"/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 w:val="22"/>
                <w:szCs w:val="22"/>
              </w:rPr>
              <w:t>专业术语</w:t>
            </w:r>
          </w:p>
        </w:tc>
      </w:tr>
      <w:tr w:rsidR="0098247A" w:rsidRPr="00C80920" w14:paraId="52223A59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3C5DB01B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词汇表问题</w:t>
            </w:r>
          </w:p>
        </w:tc>
        <w:tc>
          <w:tcPr>
            <w:tcW w:w="3973" w:type="pct"/>
            <w:noWrap/>
            <w:hideMark/>
          </w:tcPr>
          <w:p w14:paraId="7139D160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未严格遵循由</w:t>
            </w:r>
            <w:r w:rsidRPr="004340F4">
              <w:rPr>
                <w:rFonts w:hint="eastAsia"/>
                <w:color w:val="000000" w:themeColor="text1"/>
                <w:szCs w:val="22"/>
              </w:rPr>
              <w:t>甲方</w:t>
            </w:r>
            <w:r w:rsidRPr="004340F4">
              <w:rPr>
                <w:color w:val="000000" w:themeColor="text1"/>
                <w:szCs w:val="22"/>
              </w:rPr>
              <w:t>提供的术语。</w:t>
            </w:r>
          </w:p>
        </w:tc>
      </w:tr>
      <w:tr w:rsidR="0098247A" w:rsidRPr="00C80920" w14:paraId="61B7FB14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06254685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行业术语标准</w:t>
            </w:r>
          </w:p>
        </w:tc>
        <w:tc>
          <w:tcPr>
            <w:tcW w:w="3973" w:type="pct"/>
            <w:noWrap/>
            <w:hideMark/>
          </w:tcPr>
          <w:p w14:paraId="5F0F1C27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术语不符合公认的行业标准。</w:t>
            </w:r>
          </w:p>
        </w:tc>
      </w:tr>
      <w:tr w:rsidR="0098247A" w:rsidRPr="00C80920" w14:paraId="7785B04F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6A281238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缺乏准确性</w:t>
            </w:r>
          </w:p>
        </w:tc>
        <w:tc>
          <w:tcPr>
            <w:tcW w:w="3973" w:type="pct"/>
            <w:noWrap/>
            <w:hideMark/>
          </w:tcPr>
          <w:p w14:paraId="1E4FD406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术语与上下文不符。</w:t>
            </w:r>
          </w:p>
        </w:tc>
      </w:tr>
      <w:tr w:rsidR="0098247A" w:rsidRPr="00C80920" w14:paraId="15A9723E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5EC9C780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术语一致性</w:t>
            </w:r>
          </w:p>
        </w:tc>
        <w:tc>
          <w:tcPr>
            <w:tcW w:w="3973" w:type="pct"/>
            <w:noWrap/>
            <w:hideMark/>
          </w:tcPr>
          <w:p w14:paraId="7DF75CA0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术语前后不一致，或与翻译记忆库不一致。在不同的产品中混用术语</w:t>
            </w:r>
            <w:r w:rsidRPr="004340F4">
              <w:rPr>
                <w:color w:val="000000" w:themeColor="text1"/>
                <w:szCs w:val="22"/>
              </w:rPr>
              <w:t>(Windows, Linux, Mac...)</w:t>
            </w:r>
            <w:r w:rsidRPr="004340F4">
              <w:rPr>
                <w:color w:val="000000" w:themeColor="text1"/>
                <w:szCs w:val="22"/>
              </w:rPr>
              <w:t>。</w:t>
            </w:r>
          </w:p>
        </w:tc>
      </w:tr>
      <w:tr w:rsidR="0098247A" w:rsidRPr="00C80920" w14:paraId="4A9C7F43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noWrap/>
            <w:hideMark/>
          </w:tcPr>
          <w:p w14:paraId="209081C7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政治敏感性术语</w:t>
            </w:r>
          </w:p>
        </w:tc>
        <w:tc>
          <w:tcPr>
            <w:tcW w:w="3973" w:type="pct"/>
            <w:noWrap/>
            <w:hideMark/>
          </w:tcPr>
          <w:p w14:paraId="62CF6D2F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对政治敏感性术语的翻译未遵循</w:t>
            </w:r>
            <w:r w:rsidRPr="004340F4">
              <w:rPr>
                <w:rFonts w:hint="eastAsia"/>
                <w:color w:val="000000" w:themeColor="text1"/>
                <w:szCs w:val="22"/>
              </w:rPr>
              <w:t>甲方</w:t>
            </w:r>
            <w:r w:rsidRPr="004340F4">
              <w:rPr>
                <w:color w:val="000000" w:themeColor="text1"/>
                <w:szCs w:val="22"/>
              </w:rPr>
              <w:t>的风格指南。</w:t>
            </w:r>
          </w:p>
        </w:tc>
      </w:tr>
      <w:tr w:rsidR="0098247A" w:rsidRPr="00C80920" w14:paraId="38329DA2" w14:textId="77777777" w:rsidTr="005774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  <w:hideMark/>
          </w:tcPr>
          <w:p w14:paraId="70CB0959" w14:textId="77777777" w:rsidR="0098247A" w:rsidRPr="004340F4" w:rsidRDefault="0098247A" w:rsidP="005774CB">
            <w:pPr>
              <w:jc w:val="center"/>
              <w:rPr>
                <w:b w:val="0"/>
                <w:bCs w:val="0"/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 w:val="22"/>
                <w:szCs w:val="22"/>
              </w:rPr>
              <w:t>格式</w:t>
            </w:r>
          </w:p>
        </w:tc>
      </w:tr>
      <w:tr w:rsidR="0098247A" w:rsidRPr="00C80920" w14:paraId="61377CD8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08D624E6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格式</w:t>
            </w:r>
          </w:p>
        </w:tc>
        <w:tc>
          <w:tcPr>
            <w:tcW w:w="3973" w:type="pct"/>
            <w:hideMark/>
          </w:tcPr>
          <w:p w14:paraId="1A524541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不一致的字体、大小、高亮、色彩、换行符以及出现乱码等。</w:t>
            </w:r>
          </w:p>
        </w:tc>
      </w:tr>
      <w:tr w:rsidR="0098247A" w:rsidRPr="00C80920" w14:paraId="7FFBCFDA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28BD4715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添加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删除标签</w:t>
            </w:r>
          </w:p>
        </w:tc>
        <w:tc>
          <w:tcPr>
            <w:tcW w:w="3973" w:type="pct"/>
            <w:hideMark/>
          </w:tcPr>
          <w:p w14:paraId="005CB797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标签添加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删除，或位置不正确。该项仅适用于使用标记的文件（</w:t>
            </w:r>
            <w:r w:rsidRPr="004340F4">
              <w:rPr>
                <w:color w:val="000000" w:themeColor="text1"/>
                <w:szCs w:val="22"/>
              </w:rPr>
              <w:t>HTML</w:t>
            </w:r>
            <w:r w:rsidRPr="004340F4">
              <w:rPr>
                <w:color w:val="000000" w:themeColor="text1"/>
                <w:szCs w:val="22"/>
              </w:rPr>
              <w:t>，</w:t>
            </w:r>
            <w:r w:rsidRPr="004340F4">
              <w:rPr>
                <w:color w:val="000000" w:themeColor="text1"/>
                <w:szCs w:val="22"/>
              </w:rPr>
              <w:t>XML</w:t>
            </w:r>
            <w:r w:rsidRPr="004340F4">
              <w:rPr>
                <w:color w:val="000000" w:themeColor="text1"/>
                <w:szCs w:val="22"/>
              </w:rPr>
              <w:t>，</w:t>
            </w:r>
            <w:r w:rsidRPr="004340F4">
              <w:rPr>
                <w:color w:val="000000" w:themeColor="text1"/>
                <w:szCs w:val="22"/>
              </w:rPr>
              <w:t>FM...</w:t>
            </w:r>
            <w:r w:rsidRPr="004340F4">
              <w:rPr>
                <w:color w:val="000000" w:themeColor="text1"/>
                <w:szCs w:val="22"/>
              </w:rPr>
              <w:t>）。</w:t>
            </w:r>
          </w:p>
        </w:tc>
      </w:tr>
      <w:tr w:rsidR="0098247A" w:rsidRPr="00C80920" w14:paraId="0862A8CC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7A61E0A5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标点</w:t>
            </w:r>
          </w:p>
        </w:tc>
        <w:tc>
          <w:tcPr>
            <w:tcW w:w="3973" w:type="pct"/>
            <w:hideMark/>
          </w:tcPr>
          <w:p w14:paraId="17F40B50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译文未遵守目标语言的标点使用规则。</w:t>
            </w:r>
          </w:p>
        </w:tc>
      </w:tr>
      <w:tr w:rsidR="0098247A" w:rsidRPr="00C80920" w14:paraId="1728470D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4BF25E72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间距</w:t>
            </w:r>
          </w:p>
        </w:tc>
        <w:tc>
          <w:tcPr>
            <w:tcW w:w="3973" w:type="pct"/>
            <w:hideMark/>
          </w:tcPr>
          <w:p w14:paraId="2C1E0811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译文使用了错误的间距。</w:t>
            </w:r>
          </w:p>
        </w:tc>
      </w:tr>
      <w:tr w:rsidR="0098247A" w:rsidRPr="00C80920" w14:paraId="117CBED3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7F3A6D26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排版</w:t>
            </w:r>
            <w:r w:rsidRPr="004340F4">
              <w:rPr>
                <w:color w:val="000000" w:themeColor="text1"/>
                <w:szCs w:val="22"/>
              </w:rPr>
              <w:t>/</w:t>
            </w:r>
            <w:r w:rsidRPr="004340F4">
              <w:rPr>
                <w:color w:val="000000" w:themeColor="text1"/>
                <w:szCs w:val="22"/>
              </w:rPr>
              <w:t>功能准确度</w:t>
            </w:r>
          </w:p>
        </w:tc>
        <w:tc>
          <w:tcPr>
            <w:tcW w:w="3973" w:type="pct"/>
            <w:hideMark/>
          </w:tcPr>
          <w:p w14:paraId="7F7A4A2E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表格内容未更新，标注未指向正确的对象，索引和交叉引用不正确等。</w:t>
            </w:r>
          </w:p>
        </w:tc>
      </w:tr>
      <w:tr w:rsidR="0098247A" w:rsidRPr="00C80920" w14:paraId="1DF68251" w14:textId="77777777" w:rsidTr="005774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79B15EB8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数字</w:t>
            </w:r>
          </w:p>
        </w:tc>
        <w:tc>
          <w:tcPr>
            <w:tcW w:w="3973" w:type="pct"/>
            <w:hideMark/>
          </w:tcPr>
          <w:p w14:paraId="248BB048" w14:textId="77777777" w:rsidR="0098247A" w:rsidRPr="004340F4" w:rsidRDefault="0098247A" w:rsidP="00577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数字的翻译风格未遵守</w:t>
            </w:r>
            <w:r w:rsidRPr="004340F4">
              <w:rPr>
                <w:rFonts w:hint="eastAsia"/>
                <w:color w:val="000000" w:themeColor="text1"/>
                <w:szCs w:val="22"/>
              </w:rPr>
              <w:t>甲方</w:t>
            </w:r>
            <w:r w:rsidRPr="004340F4">
              <w:rPr>
                <w:color w:val="000000" w:themeColor="text1"/>
                <w:szCs w:val="22"/>
              </w:rPr>
              <w:t>的风格指南。</w:t>
            </w:r>
          </w:p>
        </w:tc>
      </w:tr>
      <w:tr w:rsidR="0098247A" w:rsidRPr="00C80920" w14:paraId="747067BA" w14:textId="77777777" w:rsidTr="0057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hideMark/>
          </w:tcPr>
          <w:p w14:paraId="14F20DD5" w14:textId="77777777" w:rsidR="0098247A" w:rsidRPr="004340F4" w:rsidRDefault="0098247A" w:rsidP="005774CB">
            <w:pPr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其它</w:t>
            </w:r>
          </w:p>
        </w:tc>
        <w:tc>
          <w:tcPr>
            <w:tcW w:w="3973" w:type="pct"/>
            <w:hideMark/>
          </w:tcPr>
          <w:p w14:paraId="250964E5" w14:textId="77777777" w:rsidR="0098247A" w:rsidRPr="004340F4" w:rsidRDefault="0098247A" w:rsidP="00577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340F4">
              <w:rPr>
                <w:color w:val="000000" w:themeColor="text1"/>
                <w:szCs w:val="22"/>
              </w:rPr>
              <w:t>键盘标签名称、快捷键、变量等参数的翻译风格未遵守</w:t>
            </w:r>
            <w:r w:rsidRPr="004340F4">
              <w:rPr>
                <w:rFonts w:hint="eastAsia"/>
                <w:color w:val="000000" w:themeColor="text1"/>
                <w:szCs w:val="22"/>
              </w:rPr>
              <w:t>甲方</w:t>
            </w:r>
            <w:r w:rsidRPr="004340F4">
              <w:rPr>
                <w:color w:val="000000" w:themeColor="text1"/>
                <w:szCs w:val="22"/>
              </w:rPr>
              <w:t>的风格指南。</w:t>
            </w:r>
          </w:p>
        </w:tc>
      </w:tr>
    </w:tbl>
    <w:p w14:paraId="08123F27" w14:textId="77777777" w:rsidR="0098247A" w:rsidRPr="0098247A" w:rsidRDefault="0098247A" w:rsidP="0098247A">
      <w:pPr>
        <w:ind w:firstLineChars="200" w:firstLine="560"/>
        <w:jc w:val="left"/>
        <w:rPr>
          <w:rFonts w:ascii="宋体" w:eastAsia="宋体" w:hAnsi="宋体" w:cs="Times New Roman"/>
          <w:bCs/>
          <w:sz w:val="28"/>
          <w:szCs w:val="28"/>
        </w:rPr>
      </w:pPr>
    </w:p>
    <w:sectPr w:rsidR="0098247A" w:rsidRPr="0098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8E3F" w14:textId="77777777" w:rsidR="00664B91" w:rsidRDefault="00664B91" w:rsidP="0098247A">
      <w:r>
        <w:separator/>
      </w:r>
    </w:p>
  </w:endnote>
  <w:endnote w:type="continuationSeparator" w:id="0">
    <w:p w14:paraId="197DDF5C" w14:textId="77777777" w:rsidR="00664B91" w:rsidRDefault="00664B91" w:rsidP="009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3EDA" w14:textId="77777777" w:rsidR="00664B91" w:rsidRDefault="00664B91" w:rsidP="0098247A">
      <w:r>
        <w:separator/>
      </w:r>
    </w:p>
  </w:footnote>
  <w:footnote w:type="continuationSeparator" w:id="0">
    <w:p w14:paraId="216E1D87" w14:textId="77777777" w:rsidR="00664B91" w:rsidRDefault="00664B91" w:rsidP="0098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8"/>
    <w:rsid w:val="00354AD8"/>
    <w:rsid w:val="00367664"/>
    <w:rsid w:val="003A1424"/>
    <w:rsid w:val="00664B91"/>
    <w:rsid w:val="007C7D6E"/>
    <w:rsid w:val="00974A40"/>
    <w:rsid w:val="0098247A"/>
    <w:rsid w:val="009C6C38"/>
    <w:rsid w:val="00DF03B6"/>
    <w:rsid w:val="00EF11DD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E78C"/>
  <w15:chartTrackingRefBased/>
  <w15:docId w15:val="{17756AB4-7AFA-4E94-BCF2-853FD4EC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4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47A"/>
    <w:rPr>
      <w:sz w:val="18"/>
      <w:szCs w:val="18"/>
    </w:rPr>
  </w:style>
  <w:style w:type="table" w:styleId="-2">
    <w:name w:val="Light List Accent 2"/>
    <w:basedOn w:val="a1"/>
    <w:uiPriority w:val="61"/>
    <w:rsid w:val="0098247A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F85867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</dc:creator>
  <cp:keywords/>
  <dc:description/>
  <cp:lastModifiedBy>谢红玲</cp:lastModifiedBy>
  <cp:revision>6</cp:revision>
  <dcterms:created xsi:type="dcterms:W3CDTF">2023-03-13T06:19:00Z</dcterms:created>
  <dcterms:modified xsi:type="dcterms:W3CDTF">2023-03-22T07:18:00Z</dcterms:modified>
</cp:coreProperties>
</file>