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42" w:rsidRDefault="00646F37">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国药动保</w:t>
      </w:r>
      <w:r w:rsidR="00AF5451">
        <w:rPr>
          <w:rFonts w:ascii="方正小标宋_GBK" w:eastAsia="方正小标宋_GBK" w:hAnsi="方正小标宋_GBK" w:cs="方正小标宋_GBK" w:hint="eastAsia"/>
          <w:sz w:val="44"/>
          <w:szCs w:val="44"/>
        </w:rPr>
        <w:t>九龙基地食堂</w:t>
      </w:r>
      <w:r w:rsidR="000662A4">
        <w:rPr>
          <w:rFonts w:ascii="方正小标宋_GBK" w:eastAsia="方正小标宋_GBK" w:hAnsi="方正小标宋_GBK" w:cs="方正小标宋_GBK" w:hint="eastAsia"/>
          <w:sz w:val="44"/>
          <w:szCs w:val="44"/>
        </w:rPr>
        <w:t>餐饮</w:t>
      </w:r>
      <w:r w:rsidR="00E34884">
        <w:rPr>
          <w:rFonts w:ascii="方正小标宋_GBK" w:eastAsia="方正小标宋_GBK" w:hAnsi="方正小标宋_GBK" w:cs="方正小标宋_GBK" w:hint="eastAsia"/>
          <w:sz w:val="44"/>
          <w:szCs w:val="44"/>
        </w:rPr>
        <w:t>服务商</w:t>
      </w:r>
    </w:p>
    <w:p w:rsidR="00646F37" w:rsidRDefault="00E34884">
      <w:pPr>
        <w:snapToGrid w:val="0"/>
        <w:jc w:val="center"/>
        <w:rPr>
          <w:rFonts w:ascii="方正小标宋简体" w:eastAsia="方正小标宋简体" w:hAnsi="方正小标宋简体" w:cs="Times New Roman"/>
        </w:rPr>
      </w:pPr>
      <w:r>
        <w:rPr>
          <w:rFonts w:ascii="方正小标宋_GBK" w:eastAsia="方正小标宋_GBK" w:hAnsi="方正小标宋_GBK" w:cs="方正小标宋_GBK" w:hint="eastAsia"/>
          <w:sz w:val="44"/>
          <w:szCs w:val="44"/>
        </w:rPr>
        <w:t>选聘项目</w:t>
      </w:r>
      <w:r w:rsidR="00694DEB">
        <w:rPr>
          <w:rFonts w:ascii="方正小标宋_GBK" w:eastAsia="方正小标宋_GBK" w:hAnsi="方正小标宋_GBK" w:cs="方正小标宋_GBK" w:hint="eastAsia"/>
          <w:sz w:val="44"/>
          <w:szCs w:val="44"/>
        </w:rPr>
        <w:t>评分及考核标准</w:t>
      </w:r>
    </w:p>
    <w:p w:rsidR="00AA7C9D" w:rsidRPr="00AA7C9D" w:rsidRDefault="00AA7C9D" w:rsidP="00AA7C9D">
      <w:pPr>
        <w:pStyle w:val="a1"/>
        <w:rPr>
          <w:rFonts w:ascii="仿宋" w:eastAsia="仿宋" w:hAnsi="仿宋"/>
        </w:rPr>
      </w:pPr>
      <w:bookmarkStart w:id="0" w:name="_GoBack"/>
      <w:bookmarkEnd w:id="0"/>
      <w:r w:rsidRPr="00AA7C9D">
        <w:rPr>
          <w:rFonts w:ascii="仿宋" w:eastAsia="仿宋" w:hAnsi="仿宋"/>
        </w:rPr>
        <w:t>评分细则</w:t>
      </w:r>
    </w:p>
    <w:tbl>
      <w:tblPr>
        <w:tblW w:w="9840" w:type="dxa"/>
        <w:jc w:val="center"/>
        <w:tblLayout w:type="fixed"/>
        <w:tblCellMar>
          <w:top w:w="75" w:type="dxa"/>
          <w:left w:w="75" w:type="dxa"/>
          <w:bottom w:w="75" w:type="dxa"/>
          <w:right w:w="75" w:type="dxa"/>
        </w:tblCellMar>
        <w:tblLook w:val="04A0" w:firstRow="1" w:lastRow="0" w:firstColumn="1" w:lastColumn="0" w:noHBand="0" w:noVBand="1"/>
      </w:tblPr>
      <w:tblGrid>
        <w:gridCol w:w="971"/>
        <w:gridCol w:w="1223"/>
        <w:gridCol w:w="1690"/>
        <w:gridCol w:w="5956"/>
      </w:tblGrid>
      <w:tr w:rsidR="00AA7C9D" w:rsidRPr="007A169A" w:rsidTr="009C5E80">
        <w:trPr>
          <w:trHeight w:val="1124"/>
          <w:jc w:val="center"/>
        </w:trPr>
        <w:tc>
          <w:tcPr>
            <w:tcW w:w="971" w:type="dxa"/>
            <w:tcBorders>
              <w:top w:val="inset" w:sz="6" w:space="0" w:color="auto"/>
              <w:left w:val="inset" w:sz="6"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Pr>
                <w:rFonts w:ascii="宋体" w:hAnsi="宋体" w:hint="eastAsia"/>
                <w:sz w:val="24"/>
                <w:szCs w:val="24"/>
              </w:rPr>
              <w:t>1</w:t>
            </w:r>
          </w:p>
        </w:tc>
        <w:tc>
          <w:tcPr>
            <w:tcW w:w="2913" w:type="dxa"/>
            <w:gridSpan w:val="2"/>
            <w:tcBorders>
              <w:top w:val="inset" w:sz="6" w:space="0" w:color="auto"/>
              <w:left w:val="single" w:sz="2" w:space="0" w:color="auto"/>
              <w:bottom w:val="inset" w:sz="6" w:space="0" w:color="auto"/>
              <w:right w:val="inset" w:sz="6" w:space="0" w:color="auto"/>
            </w:tcBorders>
            <w:vAlign w:val="center"/>
            <w:hideMark/>
          </w:tcPr>
          <w:p w:rsidR="00AA7C9D" w:rsidRPr="00326338" w:rsidRDefault="00AA7C9D" w:rsidP="009C5E80">
            <w:pPr>
              <w:jc w:val="center"/>
              <w:rPr>
                <w:rFonts w:ascii="宋体" w:hAnsi="宋体"/>
                <w:sz w:val="24"/>
                <w:szCs w:val="24"/>
              </w:rPr>
            </w:pPr>
            <w:r w:rsidRPr="00326338">
              <w:rPr>
                <w:rFonts w:ascii="宋体" w:hAnsi="宋体" w:hint="eastAsia"/>
                <w:sz w:val="24"/>
                <w:szCs w:val="24"/>
              </w:rPr>
              <w:t>分值构成（总分</w:t>
            </w:r>
            <w:r w:rsidRPr="00326338">
              <w:rPr>
                <w:rFonts w:ascii="宋体" w:hAnsi="宋体"/>
                <w:sz w:val="24"/>
                <w:szCs w:val="24"/>
              </w:rPr>
              <w:t>100</w:t>
            </w:r>
            <w:r w:rsidRPr="00326338">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hideMark/>
          </w:tcPr>
          <w:p w:rsidR="00AA7C9D" w:rsidRPr="00326338" w:rsidRDefault="00AA7C9D" w:rsidP="009C5E80">
            <w:pPr>
              <w:rPr>
                <w:rFonts w:ascii="宋体" w:hAnsi="宋体"/>
                <w:sz w:val="24"/>
                <w:szCs w:val="24"/>
              </w:rPr>
            </w:pPr>
            <w:r w:rsidRPr="00326338">
              <w:rPr>
                <w:rFonts w:ascii="宋体" w:hAnsi="宋体" w:hint="eastAsia"/>
                <w:sz w:val="24"/>
                <w:szCs w:val="24"/>
              </w:rPr>
              <w:t>投标报价：</w:t>
            </w:r>
            <w:r w:rsidRPr="00326338">
              <w:rPr>
                <w:rFonts w:ascii="宋体" w:hAnsi="宋体"/>
                <w:sz w:val="24"/>
                <w:szCs w:val="24"/>
              </w:rPr>
              <w:t>1</w:t>
            </w:r>
            <w:r w:rsidRPr="00326338">
              <w:rPr>
                <w:rFonts w:ascii="宋体" w:hAnsi="宋体" w:hint="eastAsia"/>
                <w:sz w:val="24"/>
                <w:szCs w:val="24"/>
              </w:rPr>
              <w:t>0分</w:t>
            </w:r>
          </w:p>
          <w:p w:rsidR="00AA7C9D" w:rsidRPr="00326338" w:rsidRDefault="00AA7C9D" w:rsidP="009C5E80">
            <w:pPr>
              <w:rPr>
                <w:rFonts w:ascii="宋体" w:hAnsi="宋体"/>
                <w:sz w:val="24"/>
                <w:szCs w:val="24"/>
              </w:rPr>
            </w:pPr>
            <w:r w:rsidRPr="00326338">
              <w:rPr>
                <w:rFonts w:ascii="宋体" w:hAnsi="宋体" w:hint="eastAsia"/>
                <w:sz w:val="24"/>
                <w:szCs w:val="24"/>
              </w:rPr>
              <w:t>商务评审：</w:t>
            </w:r>
            <w:r>
              <w:rPr>
                <w:rFonts w:ascii="宋体" w:hAnsi="宋体"/>
                <w:sz w:val="24"/>
                <w:szCs w:val="24"/>
              </w:rPr>
              <w:t>30</w:t>
            </w:r>
            <w:r w:rsidRPr="00326338">
              <w:rPr>
                <w:rFonts w:ascii="宋体" w:hAnsi="宋体" w:hint="eastAsia"/>
                <w:sz w:val="24"/>
                <w:szCs w:val="24"/>
              </w:rPr>
              <w:t>分</w:t>
            </w:r>
          </w:p>
          <w:p w:rsidR="00AA7C9D" w:rsidRPr="00326338" w:rsidRDefault="00AA7C9D" w:rsidP="009C5E80">
            <w:pPr>
              <w:rPr>
                <w:rFonts w:ascii="宋体" w:hAnsi="宋体"/>
                <w:sz w:val="24"/>
                <w:szCs w:val="24"/>
              </w:rPr>
            </w:pPr>
            <w:r w:rsidRPr="00326338">
              <w:rPr>
                <w:rFonts w:ascii="宋体" w:hAnsi="宋体" w:hint="eastAsia"/>
                <w:sz w:val="24"/>
                <w:szCs w:val="24"/>
              </w:rPr>
              <w:t>技术评审：</w:t>
            </w:r>
            <w:r>
              <w:rPr>
                <w:rFonts w:ascii="宋体" w:hAnsi="宋体"/>
                <w:sz w:val="24"/>
                <w:szCs w:val="24"/>
              </w:rPr>
              <w:t>60</w:t>
            </w:r>
            <w:r w:rsidRPr="00326338">
              <w:rPr>
                <w:rFonts w:ascii="宋体" w:hAnsi="宋体" w:hint="eastAsia"/>
                <w:sz w:val="24"/>
                <w:szCs w:val="24"/>
              </w:rPr>
              <w:t>分</w:t>
            </w:r>
          </w:p>
        </w:tc>
      </w:tr>
      <w:tr w:rsidR="00AA7C9D" w:rsidRPr="007A169A" w:rsidTr="009C5E80">
        <w:trPr>
          <w:jc w:val="center"/>
        </w:trPr>
        <w:tc>
          <w:tcPr>
            <w:tcW w:w="971" w:type="dxa"/>
            <w:tcBorders>
              <w:top w:val="inset" w:sz="6" w:space="0" w:color="auto"/>
              <w:left w:val="inset" w:sz="6" w:space="0" w:color="auto"/>
              <w:bottom w:val="inset" w:sz="6" w:space="0" w:color="auto"/>
              <w:right w:val="inset" w:sz="6" w:space="0" w:color="auto"/>
            </w:tcBorders>
            <w:vAlign w:val="center"/>
            <w:hideMark/>
          </w:tcPr>
          <w:p w:rsidR="00AA7C9D" w:rsidRPr="00D02B98" w:rsidRDefault="00AA7C9D" w:rsidP="009C5E80">
            <w:pPr>
              <w:jc w:val="center"/>
              <w:rPr>
                <w:rFonts w:ascii="宋体" w:hAnsi="宋体"/>
                <w:sz w:val="24"/>
                <w:szCs w:val="24"/>
              </w:rPr>
            </w:pPr>
            <w:r w:rsidRPr="00D02B98">
              <w:rPr>
                <w:rFonts w:ascii="宋体" w:hAnsi="宋体"/>
                <w:sz w:val="24"/>
                <w:szCs w:val="24"/>
              </w:rPr>
              <w:t>2</w:t>
            </w:r>
          </w:p>
        </w:tc>
        <w:tc>
          <w:tcPr>
            <w:tcW w:w="1223" w:type="dxa"/>
            <w:tcBorders>
              <w:top w:val="inset" w:sz="6" w:space="0" w:color="auto"/>
              <w:left w:val="single" w:sz="2" w:space="0" w:color="auto"/>
              <w:bottom w:val="inset" w:sz="6" w:space="0" w:color="auto"/>
              <w:right w:val="inset" w:sz="6" w:space="0" w:color="auto"/>
            </w:tcBorders>
            <w:vAlign w:val="center"/>
            <w:hideMark/>
          </w:tcPr>
          <w:p w:rsidR="00AA7C9D" w:rsidRPr="00D02B98" w:rsidRDefault="00AA7C9D" w:rsidP="009C5E80">
            <w:pPr>
              <w:jc w:val="center"/>
              <w:rPr>
                <w:rFonts w:ascii="宋体" w:hAnsi="宋体"/>
                <w:sz w:val="24"/>
                <w:szCs w:val="24"/>
              </w:rPr>
            </w:pPr>
            <w:r w:rsidRPr="00D02B98">
              <w:rPr>
                <w:rFonts w:ascii="宋体" w:hAnsi="宋体" w:hint="eastAsia"/>
                <w:sz w:val="24"/>
                <w:szCs w:val="24"/>
              </w:rPr>
              <w:t>投标报价</w:t>
            </w:r>
          </w:p>
        </w:tc>
        <w:tc>
          <w:tcPr>
            <w:tcW w:w="1690" w:type="dxa"/>
            <w:tcBorders>
              <w:top w:val="inset" w:sz="6" w:space="0" w:color="auto"/>
              <w:left w:val="single" w:sz="2" w:space="0" w:color="auto"/>
              <w:bottom w:val="inset" w:sz="6" w:space="0" w:color="auto"/>
              <w:right w:val="inset" w:sz="6" w:space="0" w:color="auto"/>
            </w:tcBorders>
            <w:vAlign w:val="center"/>
            <w:hideMark/>
          </w:tcPr>
          <w:p w:rsidR="00AA7C9D" w:rsidRPr="00D02B98" w:rsidRDefault="00AA7C9D" w:rsidP="009C5E80">
            <w:pPr>
              <w:jc w:val="center"/>
              <w:rPr>
                <w:rFonts w:ascii="宋体" w:hAnsi="宋体"/>
                <w:sz w:val="24"/>
                <w:szCs w:val="24"/>
              </w:rPr>
            </w:pPr>
            <w:r w:rsidRPr="00D02B98">
              <w:rPr>
                <w:rFonts w:ascii="宋体" w:hAnsi="宋体" w:hint="eastAsia"/>
                <w:sz w:val="24"/>
                <w:szCs w:val="24"/>
              </w:rPr>
              <w:t>投标报价（</w:t>
            </w:r>
            <w:r w:rsidRPr="00D02B98">
              <w:rPr>
                <w:rFonts w:ascii="宋体" w:hAnsi="宋体"/>
                <w:sz w:val="24"/>
                <w:szCs w:val="24"/>
              </w:rPr>
              <w:t>1</w:t>
            </w:r>
            <w:r w:rsidRPr="00D02B98">
              <w:rPr>
                <w:rFonts w:ascii="宋体" w:hAnsi="宋体" w:hint="eastAsia"/>
                <w:sz w:val="24"/>
                <w:szCs w:val="24"/>
              </w:rPr>
              <w:t>0分）</w:t>
            </w:r>
          </w:p>
        </w:tc>
        <w:tc>
          <w:tcPr>
            <w:tcW w:w="5956" w:type="dxa"/>
            <w:tcBorders>
              <w:top w:val="inset" w:sz="6" w:space="0" w:color="auto"/>
              <w:left w:val="single" w:sz="2" w:space="0" w:color="auto"/>
              <w:bottom w:val="inset" w:sz="6" w:space="0" w:color="auto"/>
              <w:right w:val="inset" w:sz="6" w:space="0" w:color="auto"/>
            </w:tcBorders>
            <w:vAlign w:val="center"/>
            <w:hideMark/>
          </w:tcPr>
          <w:p w:rsidR="00AA7C9D" w:rsidRDefault="00AA7C9D" w:rsidP="009C5E80">
            <w:pPr>
              <w:rPr>
                <w:rFonts w:ascii="宋体" w:hAnsi="宋体"/>
                <w:sz w:val="24"/>
                <w:szCs w:val="24"/>
              </w:rPr>
            </w:pPr>
            <w:r>
              <w:rPr>
                <w:rFonts w:ascii="宋体" w:hAnsi="宋体" w:hint="eastAsia"/>
                <w:sz w:val="24"/>
                <w:szCs w:val="24"/>
              </w:rPr>
              <w:t>在保证菜品质量的前提条件下</w:t>
            </w:r>
          </w:p>
          <w:p w:rsidR="00AA7C9D" w:rsidRDefault="00AA7C9D" w:rsidP="009C5E80">
            <w:pPr>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满足基本供餐要求得5分；</w:t>
            </w:r>
          </w:p>
          <w:p w:rsidR="00AA7C9D" w:rsidRDefault="00AA7C9D" w:rsidP="009C5E80">
            <w:pPr>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能额外提供更多种类餐品得1分；</w:t>
            </w:r>
          </w:p>
          <w:p w:rsidR="00AA7C9D" w:rsidRPr="00D02B98" w:rsidRDefault="00AA7C9D" w:rsidP="009C5E80">
            <w:pPr>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在整体费用基础上提供折扣的投标人，根据折扣情况得1</w:t>
            </w:r>
            <w:r>
              <w:rPr>
                <w:rFonts w:ascii="宋体" w:hAnsi="宋体"/>
                <w:sz w:val="24"/>
                <w:szCs w:val="24"/>
              </w:rPr>
              <w:t>-4分，不提供折扣不得分。</w:t>
            </w:r>
          </w:p>
        </w:tc>
      </w:tr>
      <w:tr w:rsidR="00AA7C9D" w:rsidRPr="007A169A" w:rsidTr="009C5E80">
        <w:trPr>
          <w:trHeight w:val="1588"/>
          <w:jc w:val="center"/>
        </w:trPr>
        <w:tc>
          <w:tcPr>
            <w:tcW w:w="971" w:type="dxa"/>
            <w:vMerge w:val="restart"/>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7A169A">
              <w:rPr>
                <w:rFonts w:ascii="宋体" w:hAnsi="宋体"/>
                <w:sz w:val="24"/>
                <w:szCs w:val="24"/>
              </w:rPr>
              <w:t>3</w:t>
            </w:r>
          </w:p>
        </w:tc>
        <w:tc>
          <w:tcPr>
            <w:tcW w:w="1223" w:type="dxa"/>
            <w:vMerge w:val="restart"/>
            <w:tcBorders>
              <w:top w:val="single" w:sz="2" w:space="0" w:color="auto"/>
              <w:left w:val="single" w:sz="2"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7A169A">
              <w:rPr>
                <w:rFonts w:ascii="宋体" w:hAnsi="宋体" w:hint="eastAsia"/>
                <w:sz w:val="24"/>
                <w:szCs w:val="24"/>
              </w:rPr>
              <w:t>商务评审</w:t>
            </w:r>
          </w:p>
          <w:p w:rsidR="00AA7C9D" w:rsidRPr="007A169A" w:rsidRDefault="00AA7C9D" w:rsidP="009C5E80">
            <w:pPr>
              <w:jc w:val="center"/>
              <w:rPr>
                <w:rFonts w:ascii="宋体" w:hAnsi="宋体"/>
                <w:sz w:val="24"/>
                <w:szCs w:val="24"/>
              </w:rPr>
            </w:pPr>
            <w:r w:rsidRPr="007A169A">
              <w:rPr>
                <w:rFonts w:ascii="宋体" w:hAnsi="宋体"/>
                <w:sz w:val="24"/>
                <w:szCs w:val="24"/>
              </w:rPr>
              <w:t>(</w:t>
            </w:r>
            <w:r>
              <w:rPr>
                <w:rFonts w:ascii="宋体" w:hAnsi="宋体"/>
                <w:sz w:val="24"/>
                <w:szCs w:val="24"/>
              </w:rPr>
              <w:t>30</w:t>
            </w:r>
            <w:r w:rsidRPr="00BC4651">
              <w:rPr>
                <w:rFonts w:ascii="宋体" w:hAnsi="宋体" w:hint="eastAsia"/>
                <w:sz w:val="24"/>
                <w:szCs w:val="24"/>
              </w:rPr>
              <w:t>分</w:t>
            </w:r>
            <w:r w:rsidRPr="007A169A">
              <w:rPr>
                <w:rFonts w:ascii="宋体" w:hAnsi="宋体"/>
                <w:sz w:val="24"/>
                <w:szCs w:val="24"/>
              </w:rPr>
              <w:t>)</w:t>
            </w:r>
          </w:p>
        </w:tc>
        <w:tc>
          <w:tcPr>
            <w:tcW w:w="1690" w:type="dxa"/>
            <w:tcBorders>
              <w:top w:val="inset" w:sz="6" w:space="0" w:color="auto"/>
              <w:left w:val="single" w:sz="2"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BC4651">
              <w:rPr>
                <w:rFonts w:ascii="宋体" w:hAnsi="宋体" w:hint="eastAsia"/>
                <w:sz w:val="24"/>
                <w:szCs w:val="24"/>
              </w:rPr>
              <w:t>类似服务业绩</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sidRPr="00BC4651">
              <w:rPr>
                <w:rFonts w:ascii="宋体" w:hAnsi="宋体"/>
                <w:sz w:val="24"/>
                <w:szCs w:val="24"/>
              </w:rPr>
              <w:t>1</w:t>
            </w:r>
            <w:r>
              <w:rPr>
                <w:rFonts w:ascii="宋体" w:hAnsi="宋体"/>
                <w:sz w:val="24"/>
                <w:szCs w:val="24"/>
              </w:rPr>
              <w:t>0</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hideMark/>
          </w:tcPr>
          <w:p w:rsidR="00AA7C9D" w:rsidRPr="00BC4651" w:rsidRDefault="00AA7C9D" w:rsidP="009C5E80">
            <w:pPr>
              <w:rPr>
                <w:rFonts w:ascii="宋体" w:hAnsi="宋体"/>
                <w:sz w:val="24"/>
                <w:szCs w:val="24"/>
              </w:rPr>
            </w:pPr>
            <w:r w:rsidRPr="00BC4651">
              <w:rPr>
                <w:rFonts w:ascii="宋体" w:hAnsi="宋体" w:hint="eastAsia"/>
                <w:sz w:val="24"/>
                <w:szCs w:val="24"/>
              </w:rPr>
              <w:t>类似服务业绩是指投标人近三年有经营机关或企事业单位食堂</w:t>
            </w:r>
            <w:r>
              <w:rPr>
                <w:rFonts w:ascii="宋体" w:hAnsi="宋体" w:hint="eastAsia"/>
                <w:sz w:val="24"/>
                <w:szCs w:val="24"/>
              </w:rPr>
              <w:t>餐饮服务</w:t>
            </w:r>
            <w:r w:rsidRPr="00BC4651">
              <w:rPr>
                <w:rFonts w:ascii="宋体" w:hAnsi="宋体" w:hint="eastAsia"/>
                <w:sz w:val="24"/>
                <w:szCs w:val="24"/>
              </w:rPr>
              <w:t>，每有</w:t>
            </w:r>
            <w:r w:rsidRPr="00BC4651">
              <w:rPr>
                <w:rFonts w:ascii="宋体" w:hAnsi="宋体"/>
                <w:sz w:val="24"/>
                <w:szCs w:val="24"/>
              </w:rPr>
              <w:t>1</w:t>
            </w:r>
            <w:r w:rsidRPr="00BC4651">
              <w:rPr>
                <w:rFonts w:ascii="宋体" w:hAnsi="宋体" w:hint="eastAsia"/>
                <w:sz w:val="24"/>
                <w:szCs w:val="24"/>
              </w:rPr>
              <w:t>项类似服务业绩得</w:t>
            </w:r>
            <w:r w:rsidRPr="00BC4651">
              <w:rPr>
                <w:rFonts w:ascii="宋体" w:hAnsi="宋体"/>
                <w:sz w:val="24"/>
                <w:szCs w:val="24"/>
              </w:rPr>
              <w:t>1</w:t>
            </w:r>
            <w:r w:rsidRPr="00BC4651">
              <w:rPr>
                <w:rFonts w:ascii="宋体" w:hAnsi="宋体" w:hint="eastAsia"/>
                <w:sz w:val="24"/>
                <w:szCs w:val="24"/>
              </w:rPr>
              <w:t>分，最多得</w:t>
            </w:r>
            <w:r w:rsidRPr="00BC4651">
              <w:rPr>
                <w:rFonts w:ascii="宋体" w:hAnsi="宋体"/>
                <w:sz w:val="24"/>
                <w:szCs w:val="24"/>
              </w:rPr>
              <w:t>1</w:t>
            </w:r>
            <w:r>
              <w:rPr>
                <w:rFonts w:ascii="宋体" w:hAnsi="宋体"/>
                <w:sz w:val="24"/>
                <w:szCs w:val="24"/>
              </w:rPr>
              <w:t>0</w:t>
            </w:r>
            <w:r w:rsidRPr="00BC4651">
              <w:rPr>
                <w:rFonts w:ascii="宋体" w:hAnsi="宋体" w:hint="eastAsia"/>
                <w:sz w:val="24"/>
                <w:szCs w:val="24"/>
              </w:rPr>
              <w:t>分。</w:t>
            </w:r>
            <w:r>
              <w:rPr>
                <w:rFonts w:ascii="宋体" w:hAnsi="宋体" w:hint="eastAsia"/>
                <w:sz w:val="24"/>
                <w:szCs w:val="24"/>
              </w:rPr>
              <w:t>（需提供合同证明材料，并加盖投标人公章，</w:t>
            </w:r>
            <w:r w:rsidRPr="00BC4651">
              <w:rPr>
                <w:rFonts w:ascii="宋体" w:hAnsi="宋体" w:hint="eastAsia"/>
                <w:sz w:val="24"/>
                <w:szCs w:val="24"/>
              </w:rPr>
              <w:t>材料不全</w:t>
            </w:r>
            <w:r>
              <w:rPr>
                <w:rFonts w:ascii="宋体" w:hAnsi="宋体" w:hint="eastAsia"/>
                <w:sz w:val="24"/>
                <w:szCs w:val="24"/>
              </w:rPr>
              <w:t>或未加盖公章不</w:t>
            </w:r>
            <w:r w:rsidRPr="00BC4651">
              <w:rPr>
                <w:rFonts w:ascii="宋体" w:hAnsi="宋体" w:hint="eastAsia"/>
                <w:sz w:val="24"/>
                <w:szCs w:val="24"/>
              </w:rPr>
              <w:t>得分）</w:t>
            </w:r>
          </w:p>
        </w:tc>
      </w:tr>
      <w:tr w:rsidR="00AA7C9D" w:rsidRPr="007A169A" w:rsidTr="009C5E80">
        <w:trPr>
          <w:trHeight w:val="1588"/>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jc w:val="center"/>
              <w:rPr>
                <w:rFonts w:ascii="宋体" w:hAnsi="宋体"/>
                <w:sz w:val="24"/>
                <w:szCs w:val="24"/>
              </w:rPr>
            </w:pPr>
            <w:r>
              <w:rPr>
                <w:rFonts w:ascii="宋体" w:hAnsi="宋体" w:hint="eastAsia"/>
                <w:sz w:val="24"/>
                <w:szCs w:val="24"/>
              </w:rPr>
              <w:t>风险控制</w:t>
            </w:r>
          </w:p>
          <w:p w:rsidR="00AA7C9D" w:rsidRPr="00BC4651" w:rsidRDefault="00AA7C9D" w:rsidP="009C5E80">
            <w:pPr>
              <w:jc w:val="center"/>
              <w:rPr>
                <w:rFonts w:ascii="宋体" w:hAnsi="宋体"/>
                <w:sz w:val="24"/>
                <w:szCs w:val="24"/>
              </w:rPr>
            </w:pPr>
            <w:r>
              <w:rPr>
                <w:rFonts w:ascii="宋体" w:hAnsi="宋体" w:hint="eastAsia"/>
                <w:sz w:val="24"/>
                <w:szCs w:val="24"/>
              </w:rPr>
              <w:t>（5分）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Pr>
                <w:rFonts w:ascii="宋体" w:hAnsi="宋体" w:hint="eastAsia"/>
                <w:sz w:val="24"/>
                <w:szCs w:val="24"/>
              </w:rPr>
              <w:t>投标人</w:t>
            </w:r>
            <w:r w:rsidRPr="007342AD">
              <w:rPr>
                <w:rFonts w:ascii="宋体" w:hAnsi="宋体" w:hint="eastAsia"/>
                <w:sz w:val="24"/>
                <w:szCs w:val="24"/>
              </w:rPr>
              <w:t>通过向商业保险公司购买第三方责任险</w:t>
            </w:r>
            <w:r>
              <w:rPr>
                <w:rFonts w:ascii="宋体" w:hAnsi="宋体" w:hint="eastAsia"/>
                <w:sz w:val="24"/>
                <w:szCs w:val="24"/>
              </w:rPr>
              <w:t>（投保范围包括但不限于人身安全、财产安全等）</w:t>
            </w:r>
            <w:r w:rsidRPr="007342AD">
              <w:rPr>
                <w:rFonts w:ascii="宋体" w:hAnsi="宋体" w:hint="eastAsia"/>
                <w:sz w:val="24"/>
                <w:szCs w:val="24"/>
              </w:rPr>
              <w:t>等方式来达到企业风险控制能力的且提交保单证明资料,</w:t>
            </w:r>
            <w:r>
              <w:rPr>
                <w:rFonts w:ascii="宋体" w:hAnsi="宋体" w:hint="eastAsia"/>
                <w:sz w:val="24"/>
                <w:szCs w:val="24"/>
              </w:rPr>
              <w:t>累计</w:t>
            </w:r>
            <w:r w:rsidRPr="007342AD">
              <w:rPr>
                <w:rFonts w:ascii="宋体" w:hAnsi="宋体" w:hint="eastAsia"/>
                <w:sz w:val="24"/>
                <w:szCs w:val="24"/>
              </w:rPr>
              <w:t>保额在1000万元(含)以上得 5 分,</w:t>
            </w:r>
            <w:r>
              <w:rPr>
                <w:rFonts w:ascii="宋体" w:hAnsi="宋体" w:hint="eastAsia"/>
                <w:sz w:val="24"/>
                <w:szCs w:val="24"/>
              </w:rPr>
              <w:t>累计</w:t>
            </w:r>
            <w:r w:rsidRPr="007342AD">
              <w:rPr>
                <w:rFonts w:ascii="宋体" w:hAnsi="宋体" w:hint="eastAsia"/>
                <w:sz w:val="24"/>
                <w:szCs w:val="24"/>
              </w:rPr>
              <w:t>保额在 500 万元(含)-1000 万元的得3 分,保额在500 万元以下得 1 分,未提供的不得分。</w:t>
            </w:r>
          </w:p>
        </w:tc>
      </w:tr>
      <w:tr w:rsidR="00AA7C9D" w:rsidRPr="007A169A" w:rsidTr="009C5E80">
        <w:trPr>
          <w:trHeight w:val="1255"/>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sidRPr="00BC4651">
              <w:rPr>
                <w:rFonts w:ascii="宋体" w:hAnsi="宋体" w:hint="eastAsia"/>
                <w:sz w:val="24"/>
                <w:szCs w:val="24"/>
              </w:rPr>
              <w:t>体系认证</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sidRPr="00BC4651">
              <w:rPr>
                <w:rFonts w:ascii="宋体" w:hAnsi="宋体"/>
                <w:sz w:val="24"/>
                <w:szCs w:val="24"/>
              </w:rPr>
              <w:t>5</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7A169A">
              <w:rPr>
                <w:rFonts w:ascii="宋体" w:hAnsi="宋体" w:hint="eastAsia"/>
                <w:sz w:val="24"/>
                <w:szCs w:val="24"/>
              </w:rPr>
              <w:t>投标人具有</w:t>
            </w:r>
            <w:r w:rsidRPr="009D0FCA">
              <w:rPr>
                <w:rFonts w:ascii="宋体" w:hAnsi="宋体" w:hint="eastAsia"/>
                <w:sz w:val="24"/>
                <w:szCs w:val="24"/>
              </w:rPr>
              <w:t>ISO9001、ISO22000、</w:t>
            </w:r>
            <w:r w:rsidRPr="009D0FCA">
              <w:rPr>
                <w:rFonts w:ascii="宋体" w:hAnsi="宋体"/>
                <w:sz w:val="24"/>
                <w:szCs w:val="24"/>
              </w:rPr>
              <w:t>ISO45001</w:t>
            </w:r>
            <w:r w:rsidRPr="009D0FCA">
              <w:rPr>
                <w:rFonts w:ascii="宋体" w:hAnsi="宋体" w:hint="eastAsia"/>
                <w:sz w:val="24"/>
                <w:szCs w:val="24"/>
              </w:rPr>
              <w:t>、ISO14001</w:t>
            </w:r>
            <w:r w:rsidRPr="007A169A">
              <w:rPr>
                <w:rFonts w:ascii="宋体" w:hAnsi="宋体" w:hint="eastAsia"/>
                <w:sz w:val="24"/>
                <w:szCs w:val="24"/>
              </w:rPr>
              <w:t>和HACCP等体系认证证书，每提供一个证书得</w:t>
            </w:r>
            <w:r w:rsidRPr="007A169A">
              <w:rPr>
                <w:rFonts w:ascii="宋体" w:hAnsi="宋体"/>
                <w:sz w:val="24"/>
                <w:szCs w:val="24"/>
              </w:rPr>
              <w:t>1</w:t>
            </w:r>
            <w:r w:rsidRPr="007A169A">
              <w:rPr>
                <w:rFonts w:ascii="宋体" w:hAnsi="宋体" w:hint="eastAsia"/>
                <w:sz w:val="24"/>
                <w:szCs w:val="24"/>
              </w:rPr>
              <w:t>分，最多得</w:t>
            </w:r>
            <w:r w:rsidRPr="007A169A">
              <w:rPr>
                <w:rFonts w:ascii="宋体" w:hAnsi="宋体"/>
                <w:sz w:val="24"/>
                <w:szCs w:val="24"/>
              </w:rPr>
              <w:t>5</w:t>
            </w:r>
            <w:r w:rsidRPr="007A169A">
              <w:rPr>
                <w:rFonts w:ascii="宋体" w:hAnsi="宋体" w:hint="eastAsia"/>
                <w:sz w:val="24"/>
                <w:szCs w:val="24"/>
              </w:rPr>
              <w:t>分。（提供证书复印件及国家市场监督管理总局全国认证认可信息公共服务平台查询截图，证明文件加盖投标人公章，材料不全或未加盖公章不得分）</w:t>
            </w:r>
          </w:p>
        </w:tc>
      </w:tr>
      <w:tr w:rsidR="00AA7C9D" w:rsidRPr="007A169A" w:rsidTr="009C5E80">
        <w:trPr>
          <w:trHeight w:val="1389"/>
          <w:jc w:val="center"/>
        </w:trPr>
        <w:tc>
          <w:tcPr>
            <w:tcW w:w="971" w:type="dxa"/>
            <w:vMerge/>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hideMark/>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BC4651">
              <w:rPr>
                <w:rFonts w:ascii="宋体" w:hAnsi="宋体" w:hint="eastAsia"/>
                <w:sz w:val="24"/>
                <w:szCs w:val="24"/>
              </w:rPr>
              <w:t>财务状况</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sidRPr="00BC4651">
              <w:rPr>
                <w:rFonts w:ascii="宋体" w:hAnsi="宋体"/>
                <w:sz w:val="24"/>
                <w:szCs w:val="24"/>
              </w:rPr>
              <w:t>2</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hideMark/>
          </w:tcPr>
          <w:p w:rsidR="00AA7C9D" w:rsidRPr="00AB68DB" w:rsidRDefault="00AA7C9D" w:rsidP="009C5E80">
            <w:pPr>
              <w:rPr>
                <w:rFonts w:ascii="宋体" w:hAnsi="宋体" w:cs="宋体"/>
                <w:sz w:val="24"/>
                <w:szCs w:val="24"/>
              </w:rPr>
            </w:pPr>
            <w:r w:rsidRPr="00BC4651">
              <w:rPr>
                <w:rFonts w:ascii="宋体" w:hAnsi="宋体" w:cs="宋体" w:hint="eastAsia"/>
                <w:sz w:val="24"/>
                <w:szCs w:val="24"/>
              </w:rPr>
              <w:t>提供</w:t>
            </w:r>
            <w:r>
              <w:rPr>
                <w:rFonts w:ascii="宋体" w:hAnsi="宋体" w:cs="宋体"/>
                <w:sz w:val="24"/>
                <w:szCs w:val="24"/>
              </w:rPr>
              <w:t>202</w:t>
            </w:r>
            <w:r>
              <w:rPr>
                <w:rFonts w:ascii="宋体" w:hAnsi="宋体" w:cs="宋体" w:hint="eastAsia"/>
                <w:sz w:val="24"/>
                <w:szCs w:val="24"/>
              </w:rPr>
              <w:t>2</w:t>
            </w:r>
            <w:r>
              <w:rPr>
                <w:rFonts w:ascii="宋体" w:hAnsi="宋体" w:cs="宋体"/>
                <w:sz w:val="24"/>
                <w:szCs w:val="24"/>
              </w:rPr>
              <w:t>、202</w:t>
            </w:r>
            <w:r>
              <w:rPr>
                <w:rFonts w:ascii="宋体" w:hAnsi="宋体" w:cs="宋体" w:hint="eastAsia"/>
                <w:sz w:val="24"/>
                <w:szCs w:val="24"/>
              </w:rPr>
              <w:t>3</w:t>
            </w:r>
            <w:r w:rsidRPr="00BC4651">
              <w:rPr>
                <w:rFonts w:ascii="宋体" w:hAnsi="宋体" w:cs="宋体" w:hint="eastAsia"/>
                <w:sz w:val="24"/>
                <w:szCs w:val="24"/>
              </w:rPr>
              <w:t>年度</w:t>
            </w:r>
            <w:r w:rsidRPr="00BC4651">
              <w:rPr>
                <w:rFonts w:ascii="宋体" w:hAnsi="宋体" w:hint="eastAsia"/>
                <w:sz w:val="24"/>
                <w:szCs w:val="24"/>
              </w:rPr>
              <w:t>经第三方审计的</w:t>
            </w:r>
            <w:r w:rsidRPr="00BC4651">
              <w:rPr>
                <w:rFonts w:ascii="宋体" w:hAnsi="宋体" w:cs="宋体" w:hint="eastAsia"/>
                <w:sz w:val="24"/>
                <w:szCs w:val="24"/>
              </w:rPr>
              <w:t>财务报告，且无资不抵债情况的，二年都提供的得</w:t>
            </w:r>
            <w:r w:rsidRPr="00BC4651">
              <w:rPr>
                <w:rFonts w:ascii="宋体" w:hAnsi="宋体" w:cs="宋体"/>
                <w:sz w:val="24"/>
                <w:szCs w:val="24"/>
              </w:rPr>
              <w:t>2</w:t>
            </w:r>
            <w:r w:rsidRPr="00BC4651">
              <w:rPr>
                <w:rFonts w:ascii="宋体" w:hAnsi="宋体" w:cs="宋体" w:hint="eastAsia"/>
                <w:sz w:val="24"/>
                <w:szCs w:val="24"/>
              </w:rPr>
              <w:t>分，任一年度未提供或提供审计报告不全、资不抵债的本年度的财务状况得0分；</w:t>
            </w:r>
          </w:p>
        </w:tc>
      </w:tr>
      <w:tr w:rsidR="00AA7C9D" w:rsidRPr="007A169A" w:rsidTr="009C5E80">
        <w:trPr>
          <w:trHeight w:val="1385"/>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sidRPr="00BC4651">
              <w:rPr>
                <w:rFonts w:ascii="宋体" w:hAnsi="宋体" w:hint="eastAsia"/>
                <w:sz w:val="24"/>
                <w:szCs w:val="24"/>
              </w:rPr>
              <w:t>企业荣誉</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Pr>
                <w:rFonts w:ascii="宋体" w:hAnsi="宋体"/>
                <w:sz w:val="24"/>
                <w:szCs w:val="24"/>
              </w:rPr>
              <w:t>5</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cs="宋体"/>
                <w:sz w:val="24"/>
                <w:szCs w:val="24"/>
              </w:rPr>
            </w:pPr>
            <w:r w:rsidRPr="007A169A">
              <w:rPr>
                <w:rFonts w:ascii="宋体" w:hAnsi="宋体" w:hint="eastAsia"/>
                <w:sz w:val="24"/>
                <w:szCs w:val="24"/>
              </w:rPr>
              <w:t>近五年投标人获得全国团餐百强表彰的</w:t>
            </w:r>
            <w:r>
              <w:rPr>
                <w:rFonts w:ascii="宋体" w:hAnsi="宋体" w:hint="eastAsia"/>
                <w:sz w:val="24"/>
                <w:szCs w:val="24"/>
              </w:rPr>
              <w:t>，每提供一个得2分；获得</w:t>
            </w:r>
            <w:r w:rsidRPr="007A169A">
              <w:rPr>
                <w:rFonts w:ascii="宋体" w:hAnsi="宋体" w:hint="eastAsia"/>
                <w:sz w:val="24"/>
                <w:szCs w:val="24"/>
              </w:rPr>
              <w:t>国家级烹饪行业（协会）表彰的，每提供一个得</w:t>
            </w:r>
            <w:r w:rsidRPr="007A169A">
              <w:rPr>
                <w:rFonts w:ascii="宋体" w:hAnsi="宋体"/>
                <w:sz w:val="24"/>
                <w:szCs w:val="24"/>
              </w:rPr>
              <w:t>1</w:t>
            </w:r>
            <w:r w:rsidRPr="007A169A">
              <w:rPr>
                <w:rFonts w:ascii="宋体" w:hAnsi="宋体" w:hint="eastAsia"/>
                <w:sz w:val="24"/>
                <w:szCs w:val="24"/>
              </w:rPr>
              <w:t>分；获得省级烹饪行业（协会）表彰的，每提供一个得</w:t>
            </w:r>
            <w:r w:rsidRPr="007A169A">
              <w:rPr>
                <w:rFonts w:ascii="宋体" w:hAnsi="宋体"/>
                <w:sz w:val="24"/>
                <w:szCs w:val="24"/>
              </w:rPr>
              <w:t>0.5</w:t>
            </w:r>
            <w:r w:rsidRPr="007A169A">
              <w:rPr>
                <w:rFonts w:ascii="宋体" w:hAnsi="宋体" w:hint="eastAsia"/>
                <w:sz w:val="24"/>
                <w:szCs w:val="24"/>
              </w:rPr>
              <w:t>分，满分</w:t>
            </w:r>
            <w:r>
              <w:rPr>
                <w:rFonts w:ascii="宋体" w:hAnsi="宋体"/>
                <w:sz w:val="24"/>
                <w:szCs w:val="24"/>
              </w:rPr>
              <w:t>5</w:t>
            </w:r>
            <w:r w:rsidRPr="007A169A">
              <w:rPr>
                <w:rFonts w:ascii="宋体" w:hAnsi="宋体" w:hint="eastAsia"/>
                <w:sz w:val="24"/>
                <w:szCs w:val="24"/>
              </w:rPr>
              <w:t>分。（提供证书复印件并加盖投标人单位公章）</w:t>
            </w:r>
          </w:p>
        </w:tc>
      </w:tr>
      <w:tr w:rsidR="00AA7C9D" w:rsidRPr="007A169A" w:rsidTr="009C5E80">
        <w:trPr>
          <w:trHeight w:val="1385"/>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Pr>
                <w:rFonts w:ascii="宋体" w:hAnsi="宋体" w:hint="eastAsia"/>
                <w:sz w:val="24"/>
                <w:szCs w:val="24"/>
              </w:rPr>
              <w:t>投标文件的规范性（3分）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Pr>
                <w:rFonts w:ascii="宋体" w:hAnsi="宋体" w:cs="宋体" w:hint="eastAsia"/>
                <w:sz w:val="24"/>
                <w:szCs w:val="24"/>
              </w:rPr>
              <w:t>投标文件的制作质量</w:t>
            </w:r>
            <w:r w:rsidRPr="007A169A">
              <w:rPr>
                <w:rFonts w:ascii="宋体" w:hAnsi="宋体" w:cs="宋体" w:hint="eastAsia"/>
                <w:sz w:val="24"/>
                <w:szCs w:val="24"/>
              </w:rPr>
              <w:t>好</w:t>
            </w:r>
            <w:r>
              <w:rPr>
                <w:rFonts w:ascii="宋体" w:hAnsi="宋体" w:cs="宋体" w:hint="eastAsia"/>
                <w:sz w:val="24"/>
                <w:szCs w:val="24"/>
              </w:rPr>
              <w:t>、正副本标记清楚、逐页有连续页码，并有详细目录的得1分；目录与有关材料装订顺序对应清晰，</w:t>
            </w:r>
            <w:r w:rsidRPr="007A169A">
              <w:rPr>
                <w:rFonts w:ascii="宋体" w:hAnsi="宋体" w:cs="宋体" w:hint="eastAsia"/>
                <w:sz w:val="24"/>
                <w:szCs w:val="24"/>
              </w:rPr>
              <w:t>检索</w:t>
            </w:r>
            <w:r>
              <w:rPr>
                <w:rFonts w:ascii="宋体" w:hAnsi="宋体" w:cs="宋体" w:hint="eastAsia"/>
                <w:sz w:val="24"/>
                <w:szCs w:val="24"/>
              </w:rPr>
              <w:t>方便的得3分</w:t>
            </w:r>
            <w:r w:rsidRPr="007A169A">
              <w:rPr>
                <w:rFonts w:ascii="宋体" w:hAnsi="宋体" w:cs="宋体" w:hint="eastAsia"/>
                <w:sz w:val="24"/>
                <w:szCs w:val="24"/>
              </w:rPr>
              <w:t>，</w:t>
            </w:r>
            <w:r>
              <w:rPr>
                <w:rFonts w:ascii="宋体" w:hAnsi="宋体" w:cs="宋体" w:hint="eastAsia"/>
                <w:sz w:val="24"/>
                <w:szCs w:val="24"/>
              </w:rPr>
              <w:t>其他酌情打分。</w:t>
            </w:r>
          </w:p>
        </w:tc>
      </w:tr>
      <w:tr w:rsidR="00AA7C9D" w:rsidRPr="007A169A" w:rsidTr="009C5E80">
        <w:trPr>
          <w:jc w:val="center"/>
        </w:trPr>
        <w:tc>
          <w:tcPr>
            <w:tcW w:w="971" w:type="dxa"/>
            <w:vMerge w:val="restart"/>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7A169A">
              <w:rPr>
                <w:rFonts w:ascii="宋体" w:hAnsi="宋体"/>
                <w:sz w:val="24"/>
                <w:szCs w:val="24"/>
              </w:rPr>
              <w:t>4</w:t>
            </w:r>
          </w:p>
        </w:tc>
        <w:tc>
          <w:tcPr>
            <w:tcW w:w="1223" w:type="dxa"/>
            <w:vMerge w:val="restart"/>
            <w:tcBorders>
              <w:top w:val="single" w:sz="2" w:space="0" w:color="auto"/>
              <w:left w:val="single" w:sz="2" w:space="0" w:color="auto"/>
              <w:bottom w:val="inset" w:sz="6" w:space="0" w:color="auto"/>
              <w:right w:val="inset" w:sz="6" w:space="0" w:color="auto"/>
            </w:tcBorders>
            <w:vAlign w:val="center"/>
            <w:hideMark/>
          </w:tcPr>
          <w:p w:rsidR="00AA7C9D" w:rsidRPr="00BC4651" w:rsidRDefault="00AA7C9D" w:rsidP="009C5E80">
            <w:pPr>
              <w:jc w:val="center"/>
              <w:rPr>
                <w:rFonts w:ascii="宋体" w:hAnsi="宋体"/>
                <w:sz w:val="24"/>
                <w:szCs w:val="24"/>
              </w:rPr>
            </w:pPr>
            <w:r w:rsidRPr="007A169A">
              <w:rPr>
                <w:rFonts w:ascii="宋体" w:hAnsi="宋体" w:hint="eastAsia"/>
                <w:sz w:val="24"/>
                <w:szCs w:val="24"/>
              </w:rPr>
              <w:t>技术评审</w:t>
            </w:r>
          </w:p>
          <w:p w:rsidR="00AA7C9D" w:rsidRPr="007A169A" w:rsidRDefault="00AA7C9D" w:rsidP="009C5E80">
            <w:pPr>
              <w:jc w:val="center"/>
              <w:rPr>
                <w:rFonts w:ascii="宋体" w:hAnsi="宋体"/>
                <w:sz w:val="24"/>
                <w:szCs w:val="24"/>
              </w:rPr>
            </w:pPr>
            <w:r w:rsidRPr="007A169A">
              <w:rPr>
                <w:rFonts w:ascii="宋体" w:hAnsi="宋体"/>
                <w:sz w:val="24"/>
                <w:szCs w:val="24"/>
              </w:rPr>
              <w:t>(</w:t>
            </w:r>
            <w:r>
              <w:rPr>
                <w:rFonts w:ascii="宋体" w:hAnsi="宋体"/>
                <w:sz w:val="24"/>
                <w:szCs w:val="24"/>
              </w:rPr>
              <w:t>60</w:t>
            </w:r>
            <w:r w:rsidRPr="00BC4651">
              <w:rPr>
                <w:rFonts w:ascii="宋体" w:hAnsi="宋体" w:hint="eastAsia"/>
                <w:sz w:val="24"/>
                <w:szCs w:val="24"/>
              </w:rPr>
              <w:t>分</w:t>
            </w:r>
            <w:r w:rsidRPr="007A169A">
              <w:rPr>
                <w:rFonts w:ascii="宋体" w:hAnsi="宋体"/>
                <w:sz w:val="24"/>
                <w:szCs w:val="24"/>
              </w:rPr>
              <w:t>)</w:t>
            </w: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sidRPr="00BC4651">
              <w:rPr>
                <w:rFonts w:ascii="宋体" w:hAnsi="宋体"/>
                <w:sz w:val="24"/>
                <w:szCs w:val="24"/>
              </w:rPr>
              <w:t>餐饮服务方案</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Pr>
                <w:rFonts w:ascii="宋体" w:hAnsi="宋体"/>
                <w:sz w:val="24"/>
                <w:szCs w:val="24"/>
              </w:rPr>
              <w:t>20</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Pr>
                <w:rFonts w:ascii="宋体" w:hAnsi="宋体" w:hint="eastAsia"/>
                <w:sz w:val="24"/>
                <w:szCs w:val="24"/>
                <w:lang w:val="zh-CN"/>
              </w:rPr>
              <w:t>所</w:t>
            </w:r>
            <w:r>
              <w:rPr>
                <w:rFonts w:ascii="宋体" w:hAnsi="宋体"/>
                <w:sz w:val="24"/>
                <w:szCs w:val="24"/>
                <w:lang w:val="zh-CN"/>
              </w:rPr>
              <w:t>提供服务方案</w:t>
            </w:r>
            <w:r>
              <w:rPr>
                <w:rFonts w:ascii="宋体" w:hAnsi="宋体" w:hint="eastAsia"/>
                <w:sz w:val="24"/>
                <w:szCs w:val="24"/>
                <w:lang w:val="zh-CN"/>
              </w:rPr>
              <w:t>能</w:t>
            </w:r>
            <w:r>
              <w:rPr>
                <w:rFonts w:ascii="宋体" w:hAnsi="宋体"/>
                <w:sz w:val="24"/>
                <w:szCs w:val="24"/>
                <w:lang w:val="zh-CN"/>
              </w:rPr>
              <w:t>满足招标方管理模式及要求，</w:t>
            </w:r>
            <w:r w:rsidRPr="007A169A">
              <w:rPr>
                <w:rFonts w:ascii="宋体" w:hAnsi="宋体" w:hint="eastAsia"/>
                <w:sz w:val="24"/>
                <w:szCs w:val="24"/>
                <w:lang w:val="zh-CN"/>
              </w:rPr>
              <w:t>服务方案的整体设想及策划，菜品结构及菜谱能充分满足招标</w:t>
            </w:r>
            <w:r>
              <w:rPr>
                <w:rFonts w:ascii="宋体" w:hAnsi="宋体" w:hint="eastAsia"/>
                <w:sz w:val="24"/>
                <w:szCs w:val="24"/>
                <w:lang w:val="zh-CN"/>
              </w:rPr>
              <w:t>方餐饮</w:t>
            </w:r>
            <w:r w:rsidRPr="007A169A">
              <w:rPr>
                <w:rFonts w:ascii="宋体" w:hAnsi="宋体" w:hint="eastAsia"/>
                <w:sz w:val="24"/>
                <w:szCs w:val="24"/>
                <w:lang w:val="zh-CN"/>
              </w:rPr>
              <w:t>要求（</w:t>
            </w:r>
            <w:r w:rsidRPr="007A169A">
              <w:rPr>
                <w:rFonts w:ascii="宋体" w:hAnsi="宋体" w:hint="eastAsia"/>
                <w:sz w:val="24"/>
                <w:szCs w:val="24"/>
              </w:rPr>
              <w:t>做到品种多样化，能适应不同口味需求）</w:t>
            </w:r>
            <w:r w:rsidRPr="007A169A">
              <w:rPr>
                <w:rFonts w:ascii="宋体" w:hAnsi="宋体" w:hint="eastAsia"/>
                <w:sz w:val="24"/>
                <w:szCs w:val="24"/>
                <w:lang w:val="zh-CN"/>
              </w:rPr>
              <w:t>，具有很强的针对性、实用性和可操作性，得</w:t>
            </w:r>
            <w:r>
              <w:rPr>
                <w:rFonts w:ascii="宋体" w:hAnsi="宋体"/>
                <w:sz w:val="24"/>
                <w:szCs w:val="24"/>
                <w:lang w:val="zh-CN"/>
              </w:rPr>
              <w:t>15-20</w:t>
            </w:r>
            <w:r w:rsidRPr="007A169A">
              <w:rPr>
                <w:rFonts w:ascii="宋体" w:hAnsi="宋体"/>
                <w:sz w:val="24"/>
                <w:szCs w:val="24"/>
                <w:lang w:val="zh-CN"/>
              </w:rPr>
              <w:t>分；技术方案较符合食堂技术任务书需求，方案具有较强的针对性、</w:t>
            </w:r>
            <w:r w:rsidRPr="007A169A">
              <w:rPr>
                <w:rFonts w:ascii="宋体" w:hAnsi="宋体" w:hint="eastAsia"/>
                <w:sz w:val="24"/>
                <w:szCs w:val="24"/>
                <w:lang w:val="zh-CN"/>
              </w:rPr>
              <w:t>实用性和可操作性，得</w:t>
            </w:r>
            <w:r>
              <w:rPr>
                <w:rFonts w:ascii="宋体" w:hAnsi="宋体"/>
                <w:sz w:val="24"/>
                <w:szCs w:val="24"/>
                <w:lang w:val="zh-CN"/>
              </w:rPr>
              <w:t>10-15</w:t>
            </w:r>
            <w:r w:rsidRPr="007A169A">
              <w:rPr>
                <w:rFonts w:ascii="宋体" w:hAnsi="宋体"/>
                <w:sz w:val="24"/>
                <w:szCs w:val="24"/>
                <w:lang w:val="zh-CN"/>
              </w:rPr>
              <w:t>分；对项目认知不深刻，方案缺乏针对性、</w:t>
            </w:r>
            <w:r w:rsidRPr="007A169A">
              <w:rPr>
                <w:rFonts w:ascii="宋体" w:hAnsi="宋体" w:hint="eastAsia"/>
                <w:sz w:val="24"/>
                <w:szCs w:val="24"/>
                <w:lang w:val="zh-CN"/>
              </w:rPr>
              <w:t>实用性和可操作性，得</w:t>
            </w:r>
            <w:r>
              <w:rPr>
                <w:rFonts w:ascii="宋体" w:hAnsi="宋体"/>
                <w:sz w:val="24"/>
                <w:szCs w:val="24"/>
                <w:lang w:val="zh-CN"/>
              </w:rPr>
              <w:t>5-10</w:t>
            </w:r>
            <w:r w:rsidRPr="007A169A">
              <w:rPr>
                <w:rFonts w:ascii="宋体" w:hAnsi="宋体"/>
                <w:sz w:val="24"/>
                <w:szCs w:val="24"/>
                <w:lang w:val="zh-CN"/>
              </w:rPr>
              <w:t>分</w:t>
            </w:r>
            <w:r w:rsidRPr="007A169A">
              <w:rPr>
                <w:rFonts w:ascii="宋体" w:hAnsi="宋体" w:hint="eastAsia"/>
                <w:sz w:val="24"/>
                <w:szCs w:val="24"/>
                <w:lang w:val="zh-CN"/>
              </w:rPr>
              <w:t>。</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jc w:val="cente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Pr>
                <w:rFonts w:ascii="宋体" w:hAnsi="宋体"/>
                <w:sz w:val="24"/>
                <w:szCs w:val="24"/>
              </w:rPr>
              <w:t>人员资质及管理</w:t>
            </w:r>
          </w:p>
          <w:p w:rsidR="00AA7C9D" w:rsidRPr="00BC4651" w:rsidRDefault="00AA7C9D" w:rsidP="009C5E80">
            <w:pPr>
              <w:jc w:val="center"/>
              <w:rPr>
                <w:rFonts w:ascii="宋体" w:hAnsi="宋体"/>
                <w:sz w:val="24"/>
                <w:szCs w:val="24"/>
              </w:rPr>
            </w:pPr>
            <w:r w:rsidRPr="00BC4651">
              <w:rPr>
                <w:rFonts w:ascii="宋体" w:hAnsi="宋体" w:hint="eastAsia"/>
                <w:sz w:val="24"/>
                <w:szCs w:val="24"/>
              </w:rPr>
              <w:t>（</w:t>
            </w:r>
            <w:r>
              <w:rPr>
                <w:rFonts w:ascii="宋体" w:hAnsi="宋体"/>
                <w:sz w:val="24"/>
                <w:szCs w:val="24"/>
              </w:rPr>
              <w:t>10</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rPr>
                <w:rFonts w:ascii="宋体" w:hAnsi="宋体"/>
                <w:sz w:val="24"/>
                <w:szCs w:val="24"/>
              </w:rPr>
            </w:pPr>
            <w:r w:rsidRPr="00BC4651">
              <w:rPr>
                <w:rFonts w:ascii="宋体" w:hAnsi="宋体" w:hint="eastAsia"/>
                <w:sz w:val="24"/>
                <w:szCs w:val="24"/>
              </w:rPr>
              <w:t>1、</w:t>
            </w:r>
            <w:r w:rsidRPr="001079D7">
              <w:rPr>
                <w:rFonts w:ascii="宋体" w:hAnsi="宋体" w:hint="eastAsia"/>
                <w:sz w:val="24"/>
                <w:szCs w:val="24"/>
              </w:rPr>
              <w:t>编制食堂管理人员的配备方案，明确各岗位工作内容、职责、分工和投入计划等</w:t>
            </w:r>
            <w:r>
              <w:rPr>
                <w:rFonts w:ascii="宋体" w:hAnsi="宋体" w:hint="eastAsia"/>
                <w:sz w:val="24"/>
                <w:szCs w:val="24"/>
              </w:rPr>
              <w:t>，方案可行得</w:t>
            </w:r>
            <w:r>
              <w:rPr>
                <w:rFonts w:ascii="宋体" w:hAnsi="宋体"/>
                <w:sz w:val="24"/>
                <w:szCs w:val="24"/>
              </w:rPr>
              <w:t>4</w:t>
            </w:r>
            <w:r>
              <w:rPr>
                <w:rFonts w:ascii="宋体" w:hAnsi="宋体" w:hint="eastAsia"/>
                <w:sz w:val="24"/>
                <w:szCs w:val="24"/>
              </w:rPr>
              <w:t>分，方案一般得</w:t>
            </w:r>
            <w:r>
              <w:rPr>
                <w:rFonts w:ascii="宋体" w:hAnsi="宋体"/>
                <w:sz w:val="24"/>
                <w:szCs w:val="24"/>
              </w:rPr>
              <w:t>2</w:t>
            </w:r>
            <w:r>
              <w:rPr>
                <w:rFonts w:ascii="宋体" w:hAnsi="宋体" w:hint="eastAsia"/>
                <w:sz w:val="24"/>
                <w:szCs w:val="24"/>
              </w:rPr>
              <w:t>分；</w:t>
            </w:r>
          </w:p>
          <w:p w:rsidR="00AA7C9D" w:rsidRDefault="00AA7C9D" w:rsidP="009C5E80">
            <w:pPr>
              <w:rPr>
                <w:rFonts w:ascii="宋体" w:hAnsi="宋体"/>
                <w:sz w:val="24"/>
                <w:szCs w:val="24"/>
              </w:rPr>
            </w:pPr>
            <w:r>
              <w:rPr>
                <w:rFonts w:ascii="宋体" w:hAnsi="宋体"/>
                <w:sz w:val="24"/>
                <w:szCs w:val="24"/>
              </w:rPr>
              <w:t>2、</w:t>
            </w:r>
            <w:r w:rsidRPr="00BC4651">
              <w:rPr>
                <w:rFonts w:ascii="宋体" w:hAnsi="宋体" w:hint="eastAsia"/>
                <w:sz w:val="24"/>
                <w:szCs w:val="24"/>
              </w:rPr>
              <w:t>投标人拟投入经理有三年以上工作经验的得0.5分，五年以上工作经验的得1分；拟投入经理有大专及以上学历且有高级职业经理人证书的得2分，满分</w:t>
            </w:r>
            <w:r>
              <w:rPr>
                <w:rFonts w:ascii="宋体" w:hAnsi="宋体"/>
                <w:sz w:val="24"/>
                <w:szCs w:val="24"/>
              </w:rPr>
              <w:t>2</w:t>
            </w:r>
            <w:r w:rsidRPr="00BC4651">
              <w:rPr>
                <w:rFonts w:ascii="宋体" w:hAnsi="宋体" w:hint="eastAsia"/>
                <w:sz w:val="24"/>
                <w:szCs w:val="24"/>
              </w:rPr>
              <w:t>分，须提供员工简历</w:t>
            </w:r>
            <w:r>
              <w:rPr>
                <w:rFonts w:ascii="宋体" w:hAnsi="宋体" w:hint="eastAsia"/>
                <w:sz w:val="24"/>
                <w:szCs w:val="24"/>
              </w:rPr>
              <w:t>、相关</w:t>
            </w:r>
            <w:r w:rsidRPr="00BC4651">
              <w:rPr>
                <w:rFonts w:ascii="宋体" w:hAnsi="宋体" w:hint="eastAsia"/>
                <w:sz w:val="24"/>
                <w:szCs w:val="24"/>
              </w:rPr>
              <w:t>证书</w:t>
            </w:r>
            <w:r>
              <w:rPr>
                <w:rFonts w:ascii="宋体" w:hAnsi="宋体" w:hint="eastAsia"/>
                <w:sz w:val="24"/>
                <w:szCs w:val="24"/>
              </w:rPr>
              <w:t>及投标人为其购买的社保等证明材料复印件并加盖公章，未提供或未盖章不得分；</w:t>
            </w:r>
          </w:p>
          <w:p w:rsidR="00AA7C9D" w:rsidRDefault="00AA7C9D" w:rsidP="009C5E80">
            <w:pPr>
              <w:rPr>
                <w:rFonts w:ascii="宋体" w:hAnsi="宋体"/>
                <w:sz w:val="24"/>
                <w:szCs w:val="24"/>
              </w:rPr>
            </w:pPr>
            <w:r>
              <w:rPr>
                <w:rFonts w:ascii="宋体" w:hAnsi="宋体" w:hint="eastAsia"/>
                <w:sz w:val="24"/>
                <w:szCs w:val="24"/>
              </w:rPr>
              <w:t>3</w:t>
            </w:r>
            <w:r w:rsidRPr="00BC4651">
              <w:rPr>
                <w:rFonts w:ascii="宋体" w:hAnsi="宋体" w:hint="eastAsia"/>
                <w:sz w:val="24"/>
                <w:szCs w:val="24"/>
              </w:rPr>
              <w:t>、投标人拟投入</w:t>
            </w:r>
            <w:r>
              <w:rPr>
                <w:rFonts w:ascii="宋体" w:hAnsi="宋体" w:hint="eastAsia"/>
                <w:sz w:val="24"/>
                <w:szCs w:val="24"/>
              </w:rPr>
              <w:t>厨师长</w:t>
            </w:r>
            <w:r w:rsidRPr="00BC4651">
              <w:rPr>
                <w:rFonts w:ascii="宋体" w:hAnsi="宋体" w:hint="eastAsia"/>
                <w:sz w:val="24"/>
                <w:szCs w:val="24"/>
              </w:rPr>
              <w:t>有三年以上工作经验的得0.5分，五年以上工作经验的得1分，拟投入</w:t>
            </w:r>
            <w:r>
              <w:rPr>
                <w:rFonts w:ascii="宋体" w:hAnsi="宋体" w:hint="eastAsia"/>
                <w:sz w:val="24"/>
                <w:szCs w:val="24"/>
              </w:rPr>
              <w:t>厨师长</w:t>
            </w:r>
            <w:r w:rsidRPr="00BC4651">
              <w:rPr>
                <w:rFonts w:ascii="宋体" w:hAnsi="宋体" w:hint="eastAsia"/>
                <w:sz w:val="24"/>
                <w:szCs w:val="24"/>
              </w:rPr>
              <w:t>有一级</w:t>
            </w:r>
            <w:r>
              <w:rPr>
                <w:rFonts w:ascii="宋体" w:hAnsi="宋体" w:hint="eastAsia"/>
                <w:sz w:val="24"/>
                <w:szCs w:val="24"/>
              </w:rPr>
              <w:t>技师证</w:t>
            </w:r>
            <w:r w:rsidRPr="00BC4651">
              <w:rPr>
                <w:rFonts w:ascii="宋体" w:hAnsi="宋体" w:hint="eastAsia"/>
                <w:sz w:val="24"/>
                <w:szCs w:val="24"/>
              </w:rPr>
              <w:t>且获得“中国烹饪大师”荣誉的得2分，满分</w:t>
            </w:r>
            <w:r>
              <w:rPr>
                <w:rFonts w:ascii="宋体" w:hAnsi="宋体"/>
                <w:sz w:val="24"/>
                <w:szCs w:val="24"/>
              </w:rPr>
              <w:t>2</w:t>
            </w:r>
            <w:r w:rsidRPr="00BC4651">
              <w:rPr>
                <w:rFonts w:ascii="宋体" w:hAnsi="宋体" w:hint="eastAsia"/>
                <w:sz w:val="24"/>
                <w:szCs w:val="24"/>
              </w:rPr>
              <w:t>分，</w:t>
            </w:r>
            <w:r>
              <w:rPr>
                <w:rFonts w:ascii="宋体" w:hAnsi="宋体" w:hint="eastAsia"/>
                <w:sz w:val="24"/>
                <w:szCs w:val="24"/>
              </w:rPr>
              <w:t>相关</w:t>
            </w:r>
            <w:r w:rsidRPr="00BC4651">
              <w:rPr>
                <w:rFonts w:ascii="宋体" w:hAnsi="宋体" w:hint="eastAsia"/>
                <w:sz w:val="24"/>
                <w:szCs w:val="24"/>
              </w:rPr>
              <w:t>证书</w:t>
            </w:r>
            <w:r>
              <w:rPr>
                <w:rFonts w:ascii="宋体" w:hAnsi="宋体" w:hint="eastAsia"/>
                <w:sz w:val="24"/>
                <w:szCs w:val="24"/>
              </w:rPr>
              <w:t>及投标人为其购买的社保等证明材料复印件并加盖公章，未提供或未盖章不得分</w:t>
            </w:r>
            <w:r w:rsidRPr="00BC4651">
              <w:rPr>
                <w:rFonts w:ascii="宋体" w:hAnsi="宋体" w:hint="eastAsia"/>
                <w:sz w:val="24"/>
                <w:szCs w:val="24"/>
              </w:rPr>
              <w:t>；</w:t>
            </w:r>
          </w:p>
          <w:p w:rsidR="00AA7C9D" w:rsidRPr="00BC4651" w:rsidRDefault="00AA7C9D" w:rsidP="009C5E80">
            <w:pPr>
              <w:rPr>
                <w:rFonts w:ascii="宋体" w:hAnsi="宋体"/>
                <w:sz w:val="24"/>
                <w:szCs w:val="24"/>
              </w:rPr>
            </w:pPr>
            <w:r>
              <w:rPr>
                <w:rFonts w:ascii="宋体" w:hAnsi="宋体"/>
                <w:sz w:val="24"/>
                <w:szCs w:val="24"/>
              </w:rPr>
              <w:t>4</w:t>
            </w:r>
            <w:r w:rsidRPr="00BC4651">
              <w:rPr>
                <w:rFonts w:ascii="宋体" w:hAnsi="宋体" w:hint="eastAsia"/>
                <w:sz w:val="24"/>
                <w:szCs w:val="24"/>
              </w:rPr>
              <w:t>、</w:t>
            </w:r>
            <w:r>
              <w:rPr>
                <w:rFonts w:ascii="宋体" w:hAnsi="宋体" w:hint="eastAsia"/>
                <w:sz w:val="24"/>
                <w:szCs w:val="24"/>
              </w:rPr>
              <w:t>编制详细的员工培训方案，方案可行得</w:t>
            </w:r>
            <w:r>
              <w:rPr>
                <w:rFonts w:ascii="宋体" w:hAnsi="宋体"/>
                <w:sz w:val="24"/>
                <w:szCs w:val="24"/>
              </w:rPr>
              <w:t>2</w:t>
            </w:r>
            <w:r>
              <w:rPr>
                <w:rFonts w:ascii="宋体" w:hAnsi="宋体" w:hint="eastAsia"/>
                <w:sz w:val="24"/>
                <w:szCs w:val="24"/>
              </w:rPr>
              <w:t>分，方案一般得1分，无方案不得分。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hideMark/>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sidRPr="00BC4651">
              <w:rPr>
                <w:rFonts w:ascii="宋体" w:hAnsi="宋体"/>
                <w:sz w:val="24"/>
                <w:szCs w:val="24"/>
              </w:rPr>
              <w:t>食品安全管理方案</w:t>
            </w:r>
            <w:r w:rsidRPr="00BC4651">
              <w:rPr>
                <w:rFonts w:ascii="宋体" w:hAnsi="宋体" w:hint="eastAsia"/>
                <w:sz w:val="24"/>
                <w:szCs w:val="24"/>
              </w:rPr>
              <w:t>（</w:t>
            </w:r>
            <w:r>
              <w:rPr>
                <w:rFonts w:ascii="宋体" w:hAnsi="宋体"/>
                <w:sz w:val="24"/>
                <w:szCs w:val="24"/>
              </w:rPr>
              <w:t>5</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BC4651">
              <w:rPr>
                <w:rFonts w:ascii="宋体" w:hAnsi="宋体" w:hint="eastAsia"/>
                <w:sz w:val="24"/>
                <w:szCs w:val="24"/>
              </w:rPr>
              <w:t>根据食品安全管理方案的专业程度：</w:t>
            </w:r>
          </w:p>
          <w:p w:rsidR="00AA7C9D" w:rsidRPr="00B029CD" w:rsidRDefault="00AA7C9D" w:rsidP="009C5E80">
            <w:pPr>
              <w:rPr>
                <w:rFonts w:ascii="宋体" w:hAnsi="宋体"/>
                <w:sz w:val="24"/>
                <w:szCs w:val="24"/>
              </w:rPr>
            </w:pPr>
            <w:r>
              <w:rPr>
                <w:rFonts w:ascii="宋体" w:hAnsi="宋体" w:hint="eastAsia"/>
                <w:sz w:val="24"/>
                <w:szCs w:val="24"/>
              </w:rPr>
              <w:t>1</w:t>
            </w:r>
            <w:r>
              <w:rPr>
                <w:rFonts w:ascii="宋体" w:hAnsi="宋体"/>
                <w:sz w:val="24"/>
                <w:szCs w:val="24"/>
              </w:rPr>
              <w:t>.</w:t>
            </w:r>
            <w:r w:rsidRPr="00B029CD">
              <w:rPr>
                <w:rFonts w:ascii="宋体" w:hAnsi="宋体" w:hint="eastAsia"/>
                <w:sz w:val="24"/>
                <w:szCs w:val="24"/>
              </w:rPr>
              <w:t>方案详细全面，措施科学、合理，针对性和可行性强，食品质量有保障，得</w:t>
            </w:r>
            <w:r w:rsidRPr="00B029CD">
              <w:rPr>
                <w:rFonts w:ascii="宋体" w:hAnsi="宋体"/>
                <w:sz w:val="24"/>
                <w:szCs w:val="24"/>
              </w:rPr>
              <w:t>5</w:t>
            </w:r>
            <w:r w:rsidRPr="00B029CD">
              <w:rPr>
                <w:rFonts w:ascii="宋体" w:hAnsi="宋体" w:hint="eastAsia"/>
                <w:sz w:val="24"/>
                <w:szCs w:val="24"/>
              </w:rPr>
              <w:t>分；</w:t>
            </w:r>
          </w:p>
          <w:p w:rsidR="00AA7C9D" w:rsidRPr="00B029CD" w:rsidRDefault="00AA7C9D" w:rsidP="009C5E80">
            <w:pPr>
              <w:rPr>
                <w:rFonts w:ascii="宋体" w:hAnsi="宋体"/>
                <w:sz w:val="24"/>
                <w:szCs w:val="24"/>
              </w:rPr>
            </w:pPr>
            <w:r>
              <w:rPr>
                <w:rFonts w:ascii="宋体" w:hAnsi="宋体" w:hint="eastAsia"/>
                <w:sz w:val="24"/>
                <w:szCs w:val="24"/>
              </w:rPr>
              <w:t>2</w:t>
            </w:r>
            <w:r>
              <w:rPr>
                <w:rFonts w:ascii="宋体" w:hAnsi="宋体"/>
                <w:sz w:val="24"/>
                <w:szCs w:val="24"/>
              </w:rPr>
              <w:t>.</w:t>
            </w:r>
            <w:r w:rsidRPr="00B029CD">
              <w:rPr>
                <w:rFonts w:ascii="宋体" w:hAnsi="宋体" w:hint="eastAsia"/>
                <w:sz w:val="24"/>
                <w:szCs w:val="24"/>
              </w:rPr>
              <w:t>方案有所欠缺，但能够考虑到实际情况，无重大缺陷，得</w:t>
            </w:r>
            <w:r w:rsidRPr="00B029CD">
              <w:rPr>
                <w:rFonts w:ascii="宋体" w:hAnsi="宋体"/>
                <w:sz w:val="24"/>
                <w:szCs w:val="24"/>
              </w:rPr>
              <w:t>3</w:t>
            </w:r>
            <w:r w:rsidRPr="00B029CD">
              <w:rPr>
                <w:rFonts w:ascii="宋体" w:hAnsi="宋体" w:hint="eastAsia"/>
                <w:sz w:val="24"/>
                <w:szCs w:val="24"/>
              </w:rPr>
              <w:t>分；</w:t>
            </w:r>
          </w:p>
          <w:p w:rsidR="00AA7C9D" w:rsidRPr="00BC4651" w:rsidRDefault="00AA7C9D" w:rsidP="009C5E80">
            <w:pPr>
              <w:rPr>
                <w:rFonts w:ascii="宋体" w:hAnsi="宋体"/>
                <w:sz w:val="24"/>
                <w:szCs w:val="24"/>
              </w:rPr>
            </w:pPr>
            <w:r>
              <w:rPr>
                <w:rFonts w:ascii="宋体" w:hAnsi="宋体" w:hint="eastAsia"/>
                <w:sz w:val="24"/>
                <w:szCs w:val="24"/>
              </w:rPr>
              <w:lastRenderedPageBreak/>
              <w:t>3</w:t>
            </w:r>
            <w:r>
              <w:rPr>
                <w:rFonts w:ascii="宋体" w:hAnsi="宋体"/>
                <w:sz w:val="24"/>
                <w:szCs w:val="24"/>
              </w:rPr>
              <w:t>.</w:t>
            </w:r>
            <w:r w:rsidRPr="00BC4651">
              <w:rPr>
                <w:rFonts w:ascii="宋体" w:hAnsi="宋体" w:hint="eastAsia"/>
                <w:sz w:val="24"/>
                <w:szCs w:val="24"/>
              </w:rPr>
              <w:t>方案不合理，食品质量得不到保障或未提供方案不得分。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Pr>
                <w:rFonts w:ascii="宋体" w:hAnsi="宋体" w:hint="eastAsia"/>
                <w:sz w:val="24"/>
                <w:szCs w:val="24"/>
              </w:rPr>
              <w:t>环境卫生管理方案（5分）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B029CD">
              <w:rPr>
                <w:rFonts w:ascii="宋体" w:hAnsi="宋体" w:hint="eastAsia"/>
                <w:sz w:val="24"/>
                <w:szCs w:val="24"/>
              </w:rPr>
              <w:t>根据投标人食堂环境卫生管理方案进行综合评分：方案、措施详细全面，措施科学、合理，针对性和可行性强，能够充分考虑到实际情况，保障工作正常运行，得</w:t>
            </w:r>
            <w:r>
              <w:rPr>
                <w:rFonts w:ascii="宋体" w:hAnsi="宋体"/>
                <w:sz w:val="24"/>
                <w:szCs w:val="24"/>
              </w:rPr>
              <w:t>4-5</w:t>
            </w:r>
            <w:r w:rsidRPr="00B029CD">
              <w:rPr>
                <w:rFonts w:ascii="宋体" w:hAnsi="宋体" w:hint="eastAsia"/>
                <w:sz w:val="24"/>
                <w:szCs w:val="24"/>
              </w:rPr>
              <w:t>分；方案、措施有所欠缺，但能够考虑到实际情况，保障工作正常运行，得</w:t>
            </w:r>
            <w:r>
              <w:rPr>
                <w:rFonts w:ascii="宋体" w:hAnsi="宋体"/>
                <w:sz w:val="24"/>
                <w:szCs w:val="24"/>
              </w:rPr>
              <w:t>2-3</w:t>
            </w:r>
            <w:r w:rsidRPr="00B029CD">
              <w:rPr>
                <w:rFonts w:ascii="宋体" w:hAnsi="宋体" w:hint="eastAsia"/>
                <w:sz w:val="24"/>
                <w:szCs w:val="24"/>
              </w:rPr>
              <w:t>分；方案、措施不科学、不合理，不能保障工作正常运行的或未提供方案的不得分。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hideMark/>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jc w:val="center"/>
              <w:rPr>
                <w:rFonts w:ascii="宋体" w:hAnsi="宋体"/>
                <w:sz w:val="24"/>
                <w:szCs w:val="24"/>
              </w:rPr>
            </w:pPr>
            <w:r>
              <w:rPr>
                <w:rFonts w:ascii="宋体" w:hAnsi="宋体" w:hint="eastAsia"/>
                <w:sz w:val="24"/>
                <w:szCs w:val="24"/>
              </w:rPr>
              <w:t>制度规范</w:t>
            </w:r>
          </w:p>
          <w:p w:rsidR="00AA7C9D" w:rsidRPr="00BC4651" w:rsidRDefault="00AA7C9D" w:rsidP="009C5E80">
            <w:pPr>
              <w:jc w:val="center"/>
              <w:rPr>
                <w:rFonts w:ascii="宋体" w:hAnsi="宋体"/>
                <w:sz w:val="24"/>
                <w:szCs w:val="24"/>
              </w:rPr>
            </w:pPr>
            <w:r w:rsidRPr="00BC4651">
              <w:rPr>
                <w:rFonts w:ascii="宋体" w:hAnsi="宋体" w:hint="eastAsia"/>
                <w:sz w:val="24"/>
                <w:szCs w:val="24"/>
              </w:rPr>
              <w:t>（5分）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BC4651">
              <w:rPr>
                <w:rFonts w:ascii="宋体" w:hAnsi="宋体" w:hint="eastAsia"/>
                <w:sz w:val="24"/>
                <w:szCs w:val="24"/>
              </w:rPr>
              <w:t>根据</w:t>
            </w:r>
            <w:r>
              <w:rPr>
                <w:rFonts w:ascii="宋体" w:hAnsi="宋体" w:hint="eastAsia"/>
                <w:sz w:val="24"/>
                <w:szCs w:val="24"/>
              </w:rPr>
              <w:t>投标人</w:t>
            </w:r>
            <w:r w:rsidRPr="00BC4651">
              <w:rPr>
                <w:rFonts w:ascii="宋体" w:hAnsi="宋体" w:hint="eastAsia"/>
                <w:sz w:val="24"/>
                <w:szCs w:val="24"/>
              </w:rPr>
              <w:t>所提供的相关制度规范的质量进行评分，方案需包含</w:t>
            </w:r>
            <w:r>
              <w:rPr>
                <w:rFonts w:ascii="宋体" w:hAnsi="宋体" w:hint="eastAsia"/>
                <w:sz w:val="24"/>
                <w:szCs w:val="24"/>
              </w:rPr>
              <w:t>但不限于</w:t>
            </w:r>
            <w:r w:rsidRPr="00BC4651">
              <w:rPr>
                <w:rFonts w:ascii="宋体" w:hAnsi="宋体" w:hint="eastAsia"/>
                <w:sz w:val="24"/>
                <w:szCs w:val="24"/>
              </w:rPr>
              <w:t>以下1</w:t>
            </w:r>
            <w:r>
              <w:rPr>
                <w:rFonts w:ascii="宋体" w:hAnsi="宋体" w:hint="eastAsia"/>
                <w:sz w:val="24"/>
                <w:szCs w:val="24"/>
              </w:rPr>
              <w:t>3</w:t>
            </w:r>
            <w:r w:rsidRPr="00BC4651">
              <w:rPr>
                <w:rFonts w:ascii="宋体" w:hAnsi="宋体" w:hint="eastAsia"/>
                <w:sz w:val="24"/>
                <w:szCs w:val="24"/>
              </w:rPr>
              <w:t>个：《食品制作与售卖操作流程规范》、《员工食堂用餐服务规范》、《员工食堂设备使用及维护规范》、《员工培训及考核办法》、《服务人员岗位职责》、《员工食堂保洁卫生服务规范》、《员工食堂消防安全制度及应急预案》、《食品安全保障制度及应急预案》、《员工食堂服务人员安全生产管理制度》、《各类生熟食材的仓储保管规范》、《使用食品添加剂操作规范》、《食材质量验收及处理规范》《员工食堂垃圾处理规范》。</w:t>
            </w:r>
          </w:p>
          <w:p w:rsidR="00AA7C9D" w:rsidRPr="00BC4651" w:rsidRDefault="00AA7C9D" w:rsidP="009C5E80">
            <w:pPr>
              <w:rPr>
                <w:rFonts w:ascii="宋体" w:hAnsi="宋体"/>
                <w:sz w:val="24"/>
                <w:szCs w:val="24"/>
              </w:rPr>
            </w:pPr>
            <w:r w:rsidRPr="00BC4651">
              <w:rPr>
                <w:rFonts w:ascii="宋体" w:hAnsi="宋体" w:hint="eastAsia"/>
                <w:sz w:val="24"/>
                <w:szCs w:val="24"/>
              </w:rPr>
              <w:t>结合本项目特点，按照要求提供食堂服务管理制度规范，且内容科学全面、贴合本项目实际、可行性强，得</w:t>
            </w:r>
            <w:r>
              <w:rPr>
                <w:rFonts w:ascii="宋体" w:hAnsi="宋体" w:hint="eastAsia"/>
                <w:sz w:val="24"/>
                <w:szCs w:val="24"/>
              </w:rPr>
              <w:t>5</w:t>
            </w:r>
            <w:r w:rsidRPr="00BC4651">
              <w:rPr>
                <w:rFonts w:ascii="宋体" w:hAnsi="宋体" w:hint="eastAsia"/>
                <w:sz w:val="24"/>
                <w:szCs w:val="24"/>
              </w:rPr>
              <w:t>分；部分内容科学全面、贴合本项目实际，部分内容简单、</w:t>
            </w:r>
            <w:r>
              <w:rPr>
                <w:rFonts w:ascii="宋体" w:hAnsi="宋体" w:hint="eastAsia"/>
                <w:sz w:val="24"/>
                <w:szCs w:val="24"/>
              </w:rPr>
              <w:t>具有一定操作性</w:t>
            </w:r>
            <w:r w:rsidRPr="00BC4651">
              <w:rPr>
                <w:rFonts w:ascii="宋体" w:hAnsi="宋体" w:hint="eastAsia"/>
                <w:sz w:val="24"/>
                <w:szCs w:val="24"/>
              </w:rPr>
              <w:t>，得</w:t>
            </w:r>
            <w:r>
              <w:rPr>
                <w:rFonts w:ascii="宋体" w:hAnsi="宋体"/>
                <w:sz w:val="24"/>
                <w:szCs w:val="24"/>
              </w:rPr>
              <w:t>4</w:t>
            </w:r>
            <w:r w:rsidRPr="00BC4651">
              <w:rPr>
                <w:rFonts w:ascii="宋体" w:hAnsi="宋体" w:hint="eastAsia"/>
                <w:sz w:val="24"/>
                <w:szCs w:val="24"/>
              </w:rPr>
              <w:t>分；内容简单、可操作性一般，得</w:t>
            </w:r>
            <w:r>
              <w:rPr>
                <w:rFonts w:ascii="宋体" w:hAnsi="宋体"/>
                <w:sz w:val="24"/>
                <w:szCs w:val="24"/>
              </w:rPr>
              <w:t>2</w:t>
            </w:r>
            <w:r w:rsidRPr="00BC4651">
              <w:rPr>
                <w:rFonts w:ascii="宋体" w:hAnsi="宋体" w:hint="eastAsia"/>
                <w:sz w:val="24"/>
                <w:szCs w:val="24"/>
              </w:rPr>
              <w:t>分</w:t>
            </w:r>
            <w:r>
              <w:rPr>
                <w:rFonts w:ascii="宋体" w:hAnsi="宋体" w:hint="eastAsia"/>
                <w:sz w:val="24"/>
                <w:szCs w:val="24"/>
              </w:rPr>
              <w:t>。</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sidRPr="00BC4651">
              <w:rPr>
                <w:rFonts w:ascii="宋体" w:hAnsi="宋体" w:cs="宋体" w:hint="eastAsia"/>
                <w:color w:val="000000"/>
                <w:sz w:val="24"/>
                <w:szCs w:val="24"/>
              </w:rPr>
              <w:t>突发事件应急保障</w:t>
            </w:r>
            <w:r>
              <w:rPr>
                <w:rFonts w:ascii="宋体" w:hAnsi="宋体" w:cs="宋体" w:hint="eastAsia"/>
                <w:color w:val="000000"/>
                <w:sz w:val="24"/>
                <w:szCs w:val="24"/>
              </w:rPr>
              <w:t>预案</w:t>
            </w:r>
            <w:r w:rsidRPr="00BC4651">
              <w:rPr>
                <w:rFonts w:ascii="宋体" w:hAnsi="宋体" w:cs="宋体" w:hint="eastAsia"/>
                <w:color w:val="000000"/>
                <w:sz w:val="24"/>
                <w:szCs w:val="24"/>
              </w:rPr>
              <w:t>（</w:t>
            </w:r>
            <w:r>
              <w:rPr>
                <w:rFonts w:ascii="宋体" w:hAnsi="宋体" w:cs="宋体"/>
                <w:color w:val="000000"/>
                <w:sz w:val="24"/>
                <w:szCs w:val="24"/>
              </w:rPr>
              <w:t>5</w:t>
            </w:r>
            <w:r w:rsidRPr="00BC4651">
              <w:rPr>
                <w:rFonts w:ascii="宋体" w:hAnsi="宋体" w:cs="宋体" w:hint="eastAsia"/>
                <w:color w:val="000000"/>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rPr>
                <w:rFonts w:ascii="宋体" w:hAnsi="宋体"/>
                <w:sz w:val="24"/>
                <w:szCs w:val="24"/>
              </w:rPr>
            </w:pPr>
            <w:r>
              <w:rPr>
                <w:rFonts w:ascii="宋体" w:hAnsi="宋体" w:hint="eastAsia"/>
                <w:sz w:val="24"/>
                <w:szCs w:val="24"/>
              </w:rPr>
              <w:t>1</w:t>
            </w:r>
            <w:r>
              <w:rPr>
                <w:rFonts w:ascii="宋体" w:hAnsi="宋体"/>
                <w:sz w:val="24"/>
                <w:szCs w:val="24"/>
              </w:rPr>
              <w:t>.</w:t>
            </w:r>
            <w:r w:rsidRPr="000F3E00">
              <w:rPr>
                <w:rFonts w:ascii="宋体" w:hAnsi="宋体" w:hint="eastAsia"/>
                <w:sz w:val="24"/>
                <w:szCs w:val="24"/>
              </w:rPr>
              <w:t>投标人提供突发事件处理方案，包括但不限于食物中毒、消防应急、员工工伤等突发事件处理方案，每提供1项合理可行的突发事件处理方案得1分，满分3分，不提供不得分。</w:t>
            </w:r>
          </w:p>
          <w:p w:rsidR="00AA7C9D" w:rsidRPr="00BC4651" w:rsidRDefault="00AA7C9D" w:rsidP="009C5E80">
            <w:pPr>
              <w:rPr>
                <w:rFonts w:ascii="宋体" w:hAnsi="宋体"/>
                <w:sz w:val="24"/>
                <w:szCs w:val="24"/>
              </w:rPr>
            </w:pPr>
            <w:r w:rsidRPr="00BC4651">
              <w:rPr>
                <w:rFonts w:ascii="宋体" w:hAnsi="宋体" w:hint="eastAsia"/>
                <w:sz w:val="24"/>
                <w:szCs w:val="24"/>
              </w:rPr>
              <w:t>2</w:t>
            </w:r>
            <w:r>
              <w:rPr>
                <w:rFonts w:ascii="宋体" w:hAnsi="宋体" w:hint="eastAsia"/>
                <w:sz w:val="24"/>
                <w:szCs w:val="24"/>
              </w:rPr>
              <w:t>.</w:t>
            </w:r>
            <w:r w:rsidRPr="00BC4651">
              <w:rPr>
                <w:rFonts w:ascii="宋体" w:hAnsi="宋体" w:hint="eastAsia"/>
                <w:sz w:val="24"/>
                <w:szCs w:val="24"/>
              </w:rPr>
              <w:t>根据各投标人对采购人临时提出的用餐要求、加餐等情况准备的应急、保障方案进行综合比较后，根据各投标人的优劣情况给0-2分；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jc w:val="center"/>
              <w:rPr>
                <w:rFonts w:ascii="宋体" w:hAnsi="宋体"/>
                <w:sz w:val="24"/>
                <w:szCs w:val="24"/>
              </w:rPr>
            </w:pPr>
            <w:r>
              <w:rPr>
                <w:rFonts w:ascii="宋体" w:hAnsi="宋体" w:hint="eastAsia"/>
                <w:sz w:val="24"/>
                <w:szCs w:val="24"/>
              </w:rPr>
              <w:t>生鲜食材承诺（</w:t>
            </w:r>
            <w:r>
              <w:rPr>
                <w:rFonts w:ascii="宋体" w:hAnsi="宋体"/>
                <w:sz w:val="24"/>
                <w:szCs w:val="24"/>
              </w:rPr>
              <w:t>3</w:t>
            </w:r>
            <w:r>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F52CBB">
              <w:rPr>
                <w:rFonts w:ascii="宋体" w:hAnsi="宋体" w:hint="eastAsia"/>
                <w:sz w:val="24"/>
                <w:szCs w:val="24"/>
              </w:rPr>
              <w:t>投标人承诺所有用于食品制作的生鲜食材，春秋冬季均为3日内采购，夏季均为2日内采购（干货除外），提供承诺书得</w:t>
            </w:r>
            <w:r>
              <w:rPr>
                <w:rFonts w:ascii="宋体" w:hAnsi="宋体"/>
                <w:sz w:val="24"/>
                <w:szCs w:val="24"/>
              </w:rPr>
              <w:t>3</w:t>
            </w:r>
            <w:r w:rsidRPr="00F52CBB">
              <w:rPr>
                <w:rFonts w:ascii="宋体" w:hAnsi="宋体" w:hint="eastAsia"/>
                <w:sz w:val="24"/>
                <w:szCs w:val="24"/>
              </w:rPr>
              <w:t>分，无承诺或者承诺不完整不得分。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Default="00AA7C9D" w:rsidP="009C5E80">
            <w:pPr>
              <w:jc w:val="center"/>
              <w:rPr>
                <w:rFonts w:ascii="宋体" w:hAnsi="宋体"/>
                <w:sz w:val="24"/>
                <w:szCs w:val="24"/>
              </w:rPr>
            </w:pPr>
            <w:r w:rsidRPr="00F52CBB">
              <w:rPr>
                <w:rFonts w:ascii="宋体" w:hAnsi="宋体" w:hint="eastAsia"/>
                <w:sz w:val="24"/>
                <w:szCs w:val="24"/>
              </w:rPr>
              <w:t>责任界定</w:t>
            </w:r>
            <w:r>
              <w:rPr>
                <w:rFonts w:ascii="宋体" w:hAnsi="宋体" w:hint="eastAsia"/>
                <w:sz w:val="24"/>
                <w:szCs w:val="24"/>
              </w:rPr>
              <w:t>（</w:t>
            </w:r>
            <w:r>
              <w:rPr>
                <w:rFonts w:ascii="宋体" w:hAnsi="宋体"/>
                <w:sz w:val="24"/>
                <w:szCs w:val="24"/>
              </w:rPr>
              <w:t>3</w:t>
            </w:r>
            <w:r>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F52CBB">
              <w:rPr>
                <w:rFonts w:ascii="宋体" w:hAnsi="宋体" w:hint="eastAsia"/>
                <w:sz w:val="24"/>
                <w:szCs w:val="24"/>
              </w:rPr>
              <w:t>投标人承诺如发生食堂食物中毒、消防、安全等事故，投标人应承担全部责任，提供承诺书得</w:t>
            </w:r>
            <w:r>
              <w:rPr>
                <w:rFonts w:ascii="宋体" w:hAnsi="宋体"/>
                <w:sz w:val="24"/>
                <w:szCs w:val="24"/>
              </w:rPr>
              <w:t>3</w:t>
            </w:r>
            <w:r w:rsidRPr="00F52CBB">
              <w:rPr>
                <w:rFonts w:ascii="宋体" w:hAnsi="宋体" w:hint="eastAsia"/>
                <w:sz w:val="24"/>
                <w:szCs w:val="24"/>
              </w:rPr>
              <w:t>分，无承诺或者承诺不完整不得分。</w:t>
            </w:r>
          </w:p>
        </w:tc>
      </w:tr>
      <w:tr w:rsidR="00AA7C9D" w:rsidRPr="007A169A" w:rsidTr="009C5E80">
        <w:trPr>
          <w:jc w:val="center"/>
        </w:trPr>
        <w:tc>
          <w:tcPr>
            <w:tcW w:w="971" w:type="dxa"/>
            <w:vMerge/>
            <w:tcBorders>
              <w:top w:val="single" w:sz="2" w:space="0" w:color="auto"/>
              <w:left w:val="inset" w:sz="6" w:space="0" w:color="auto"/>
              <w:bottom w:val="inset" w:sz="6" w:space="0" w:color="auto"/>
              <w:right w:val="inset" w:sz="6" w:space="0" w:color="auto"/>
            </w:tcBorders>
            <w:vAlign w:val="center"/>
            <w:hideMark/>
          </w:tcPr>
          <w:p w:rsidR="00AA7C9D" w:rsidRPr="00BC4651" w:rsidRDefault="00AA7C9D" w:rsidP="009C5E80">
            <w:pPr>
              <w:rPr>
                <w:rFonts w:ascii="宋体" w:hAnsi="宋体"/>
                <w:sz w:val="24"/>
                <w:szCs w:val="24"/>
              </w:rPr>
            </w:pPr>
          </w:p>
        </w:tc>
        <w:tc>
          <w:tcPr>
            <w:tcW w:w="1223" w:type="dxa"/>
            <w:vMerge/>
            <w:tcBorders>
              <w:top w:val="single" w:sz="2" w:space="0" w:color="auto"/>
              <w:left w:val="single" w:sz="2" w:space="0" w:color="auto"/>
              <w:bottom w:val="inset" w:sz="6" w:space="0" w:color="auto"/>
              <w:right w:val="inset" w:sz="6" w:space="0" w:color="auto"/>
            </w:tcBorders>
            <w:vAlign w:val="center"/>
            <w:hideMark/>
          </w:tcPr>
          <w:p w:rsidR="00AA7C9D" w:rsidRPr="007A169A" w:rsidRDefault="00AA7C9D" w:rsidP="009C5E80">
            <w:pPr>
              <w:rPr>
                <w:rFonts w:ascii="宋体" w:hAnsi="宋体"/>
                <w:sz w:val="24"/>
                <w:szCs w:val="24"/>
              </w:rPr>
            </w:pPr>
          </w:p>
        </w:tc>
        <w:tc>
          <w:tcPr>
            <w:tcW w:w="1690"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jc w:val="center"/>
              <w:rPr>
                <w:rFonts w:ascii="宋体" w:hAnsi="宋体"/>
                <w:sz w:val="24"/>
                <w:szCs w:val="24"/>
              </w:rPr>
            </w:pPr>
            <w:r>
              <w:rPr>
                <w:rFonts w:ascii="宋体" w:hAnsi="宋体" w:hint="eastAsia"/>
                <w:sz w:val="24"/>
                <w:szCs w:val="24"/>
              </w:rPr>
              <w:t>特色</w:t>
            </w:r>
            <w:r w:rsidRPr="00BC4651">
              <w:rPr>
                <w:rFonts w:ascii="宋体" w:hAnsi="宋体"/>
                <w:sz w:val="24"/>
                <w:szCs w:val="24"/>
              </w:rPr>
              <w:t>服务方案</w:t>
            </w:r>
            <w:r w:rsidRPr="00BC4651">
              <w:rPr>
                <w:rFonts w:ascii="宋体" w:hAnsi="宋体" w:hint="eastAsia"/>
                <w:sz w:val="24"/>
                <w:szCs w:val="24"/>
              </w:rPr>
              <w:t>（</w:t>
            </w:r>
            <w:r>
              <w:rPr>
                <w:rFonts w:ascii="宋体" w:hAnsi="宋体"/>
                <w:sz w:val="24"/>
                <w:szCs w:val="24"/>
              </w:rPr>
              <w:t>4</w:t>
            </w:r>
            <w:r w:rsidRPr="00BC4651">
              <w:rPr>
                <w:rFonts w:ascii="宋体" w:hAnsi="宋体" w:hint="eastAsia"/>
                <w:sz w:val="24"/>
                <w:szCs w:val="24"/>
              </w:rPr>
              <w:t>分）</w:t>
            </w:r>
          </w:p>
        </w:tc>
        <w:tc>
          <w:tcPr>
            <w:tcW w:w="5956" w:type="dxa"/>
            <w:tcBorders>
              <w:top w:val="inset" w:sz="6" w:space="0" w:color="auto"/>
              <w:left w:val="single" w:sz="2" w:space="0" w:color="auto"/>
              <w:bottom w:val="inset" w:sz="6" w:space="0" w:color="auto"/>
              <w:right w:val="inset" w:sz="6" w:space="0" w:color="auto"/>
            </w:tcBorders>
            <w:vAlign w:val="center"/>
          </w:tcPr>
          <w:p w:rsidR="00AA7C9D" w:rsidRPr="00BC4651" w:rsidRDefault="00AA7C9D" w:rsidP="009C5E80">
            <w:pPr>
              <w:rPr>
                <w:rFonts w:ascii="宋体" w:hAnsi="宋体"/>
                <w:sz w:val="24"/>
                <w:szCs w:val="24"/>
              </w:rPr>
            </w:pPr>
            <w:r w:rsidRPr="00BC4651">
              <w:rPr>
                <w:rFonts w:ascii="宋体" w:hAnsi="宋体" w:hint="eastAsia"/>
                <w:sz w:val="24"/>
                <w:szCs w:val="24"/>
              </w:rPr>
              <w:t>1</w:t>
            </w:r>
            <w:r>
              <w:rPr>
                <w:rFonts w:ascii="宋体" w:hAnsi="宋体" w:hint="eastAsia"/>
                <w:sz w:val="24"/>
                <w:szCs w:val="24"/>
              </w:rPr>
              <w:t>、</w:t>
            </w:r>
            <w:r w:rsidRPr="00BC4651">
              <w:rPr>
                <w:rFonts w:ascii="宋体" w:hAnsi="宋体" w:hint="eastAsia"/>
                <w:sz w:val="24"/>
                <w:szCs w:val="24"/>
              </w:rPr>
              <w:t>针对本项目实际情况，在满足采购需求的基础上根据自己实际情况和优势提出特色服务。服务内容丰富、可</w:t>
            </w:r>
            <w:r w:rsidRPr="00BC4651">
              <w:rPr>
                <w:rFonts w:ascii="宋体" w:hAnsi="宋体" w:hint="eastAsia"/>
                <w:sz w:val="24"/>
                <w:szCs w:val="24"/>
              </w:rPr>
              <w:lastRenderedPageBreak/>
              <w:t>行性高的得</w:t>
            </w:r>
            <w:r>
              <w:rPr>
                <w:rFonts w:ascii="宋体" w:hAnsi="宋体"/>
                <w:sz w:val="24"/>
                <w:szCs w:val="24"/>
              </w:rPr>
              <w:t>2</w:t>
            </w:r>
            <w:r w:rsidRPr="00BC4651">
              <w:rPr>
                <w:rFonts w:ascii="宋体" w:hAnsi="宋体" w:hint="eastAsia"/>
                <w:sz w:val="24"/>
                <w:szCs w:val="24"/>
              </w:rPr>
              <w:t>分；特色服务基本合理，有一定可行性、针对性的得</w:t>
            </w:r>
            <w:r>
              <w:rPr>
                <w:rFonts w:ascii="宋体" w:hAnsi="宋体"/>
                <w:sz w:val="24"/>
                <w:szCs w:val="24"/>
              </w:rPr>
              <w:t>1</w:t>
            </w:r>
            <w:r w:rsidRPr="00BC4651">
              <w:rPr>
                <w:rFonts w:ascii="宋体" w:hAnsi="宋体" w:hint="eastAsia"/>
                <w:sz w:val="24"/>
                <w:szCs w:val="24"/>
              </w:rPr>
              <w:t>分；不具有可行性的不得分。</w:t>
            </w:r>
          </w:p>
          <w:p w:rsidR="00AA7C9D" w:rsidRPr="00BC4651" w:rsidRDefault="00AA7C9D" w:rsidP="009C5E80">
            <w:pPr>
              <w:rPr>
                <w:rFonts w:ascii="宋体" w:hAnsi="宋体"/>
                <w:sz w:val="24"/>
                <w:szCs w:val="24"/>
              </w:rPr>
            </w:pPr>
            <w:r w:rsidRPr="00BC4651">
              <w:rPr>
                <w:rFonts w:ascii="宋体" w:hAnsi="宋体" w:hint="eastAsia"/>
                <w:sz w:val="24"/>
                <w:szCs w:val="24"/>
              </w:rPr>
              <w:t>2</w:t>
            </w:r>
            <w:r>
              <w:rPr>
                <w:rFonts w:ascii="宋体" w:hAnsi="宋体" w:hint="eastAsia"/>
                <w:sz w:val="24"/>
                <w:szCs w:val="24"/>
              </w:rPr>
              <w:t>、</w:t>
            </w:r>
            <w:r w:rsidRPr="00BC4651">
              <w:rPr>
                <w:rFonts w:ascii="宋体" w:hAnsi="宋体" w:hint="eastAsia"/>
                <w:sz w:val="24"/>
                <w:szCs w:val="24"/>
              </w:rPr>
              <w:t>优质服务承诺。好的得2分，较好的得1分，不好的不得分。</w:t>
            </w:r>
          </w:p>
        </w:tc>
      </w:tr>
    </w:tbl>
    <w:p w:rsidR="00AA7C9D" w:rsidRDefault="00AA7C9D" w:rsidP="00AA7C9D">
      <w:pPr>
        <w:pStyle w:val="a1"/>
      </w:pPr>
    </w:p>
    <w:p w:rsidR="00DD0B5C" w:rsidRDefault="00DD0B5C" w:rsidP="00DD0B5C">
      <w:pPr>
        <w:pStyle w:val="a5"/>
        <w:widowControl/>
        <w:shd w:val="clear" w:color="auto" w:fill="FFFFFF"/>
        <w:spacing w:before="0" w:beforeAutospacing="0" w:after="0" w:afterAutospacing="0" w:line="360" w:lineRule="auto"/>
        <w:rPr>
          <w:color w:val="212529"/>
          <w:sz w:val="28"/>
          <w:szCs w:val="28"/>
        </w:rPr>
      </w:pPr>
      <w:r>
        <w:rPr>
          <w:rFonts w:hint="eastAsia"/>
          <w:color w:val="212529"/>
          <w:sz w:val="28"/>
          <w:szCs w:val="28"/>
        </w:rPr>
        <w:t>附件一：食堂管理月度考核表</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4680"/>
        <w:gridCol w:w="1895"/>
        <w:gridCol w:w="531"/>
        <w:gridCol w:w="634"/>
      </w:tblGrid>
      <w:tr w:rsidR="00DD0B5C" w:rsidTr="00DD0B5C">
        <w:trPr>
          <w:cantSplit/>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Times New Roman"/>
                <w:szCs w:val="24"/>
              </w:rPr>
            </w:pPr>
            <w:r>
              <w:rPr>
                <w:rFonts w:hint="eastAsia"/>
              </w:rPr>
              <w:t>项目</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检查具体内容</w:t>
            </w:r>
          </w:p>
        </w:tc>
        <w:tc>
          <w:tcPr>
            <w:tcW w:w="1895" w:type="dxa"/>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评分标准</w:t>
            </w:r>
          </w:p>
        </w:tc>
        <w:tc>
          <w:tcPr>
            <w:tcW w:w="531" w:type="dxa"/>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分值</w:t>
            </w:r>
          </w:p>
        </w:tc>
        <w:tc>
          <w:tcPr>
            <w:tcW w:w="634" w:type="dxa"/>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得分</w:t>
            </w:r>
          </w:p>
        </w:tc>
      </w:tr>
      <w:tr w:rsidR="00DD0B5C" w:rsidTr="00DD0B5C">
        <w:trPr>
          <w:cantSplit/>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销售</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饭菜不熟或口感较差现象</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发现一项或有人举报（经核实后）一次减</w:t>
            </w:r>
            <w:r>
              <w:t>3</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20</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饭菜内发现异物、杂物</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隔夜饭菜不超过</w:t>
            </w:r>
            <w:r>
              <w:t>12</w:t>
            </w:r>
            <w:r>
              <w:rPr>
                <w:rFonts w:hint="eastAsia"/>
              </w:rPr>
              <w:t>小时，出售时必须高温加热</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超过规定用餐时间出售的饭菜必须加热（人员加班时）</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工作餐搭配</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午餐荤、素菜营养搭配合理，种类不少于</w:t>
            </w:r>
            <w:r>
              <w:t>8</w:t>
            </w:r>
            <w:r>
              <w:rPr>
                <w:rFonts w:hint="eastAsia"/>
              </w:rPr>
              <w:t>种（至少</w:t>
            </w:r>
            <w:r>
              <w:t>4</w:t>
            </w:r>
            <w:r>
              <w:rPr>
                <w:rFonts w:hint="eastAsia"/>
              </w:rPr>
              <w:t>个荤菜），主食不少于</w:t>
            </w:r>
            <w:r>
              <w:t>2</w:t>
            </w:r>
            <w:r>
              <w:rPr>
                <w:rFonts w:hint="eastAsia"/>
              </w:rPr>
              <w:t>种</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每少一种减</w:t>
            </w:r>
            <w:r>
              <w:t>3</w:t>
            </w:r>
            <w:r>
              <w:rPr>
                <w:rFonts w:hint="eastAsia"/>
              </w:rPr>
              <w:t>分。荤、素营养搭配不合理减</w:t>
            </w:r>
            <w:r>
              <w:t>2</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t>12</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各类节气增加准备适时餐品</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夏季适时增加绿豆汤</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每日餐汤类不可重复，每周汤类不低于</w:t>
            </w:r>
            <w:r>
              <w:t>5</w:t>
            </w:r>
            <w:r>
              <w:rPr>
                <w:rFonts w:hint="eastAsia"/>
              </w:rPr>
              <w:t>种</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 w:rsidR="00DD0B5C" w:rsidRDefault="00DD0B5C"/>
          <w:p w:rsidR="00DD0B5C" w:rsidRDefault="00DD0B5C">
            <w:r>
              <w:rPr>
                <w:rFonts w:hint="eastAsia"/>
              </w:rPr>
              <w:t>服务</w:t>
            </w:r>
            <w:r>
              <w:t xml:space="preserve">  </w:t>
            </w:r>
            <w:r>
              <w:rPr>
                <w:rFonts w:hint="eastAsia"/>
              </w:rPr>
              <w:t>质量</w:t>
            </w:r>
            <w:r>
              <w:t xml:space="preserve"> (18</w:t>
            </w:r>
            <w:r>
              <w:rPr>
                <w:rFonts w:hint="eastAsia"/>
              </w:rPr>
              <w:t>分）</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 w:rsidR="00DD0B5C" w:rsidRDefault="00DD0B5C"/>
          <w:p w:rsidR="00DD0B5C" w:rsidRDefault="00DD0B5C">
            <w:r>
              <w:rPr>
                <w:rFonts w:hint="eastAsia"/>
              </w:rPr>
              <w:t>仪容仪表</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厨师工作期间需着整洁干净的工作制服</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发现</w:t>
            </w:r>
            <w:r>
              <w:t>1</w:t>
            </w:r>
            <w:r>
              <w:rPr>
                <w:rFonts w:hint="eastAsia"/>
              </w:rPr>
              <w:t>人次减</w:t>
            </w:r>
            <w:r>
              <w:t>3</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10</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炊事人员必须保持整洁，不允许佩戴手饰，双手干净</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操作食品时禁止吸烟、挖鼻孔、对食品打喷嚏等不卫生行为</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出售食品时不能用手直接接触食品，必须佩戴一次性手套、口罩</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44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服务</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食堂服务人员要微笑服务、热心解答</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不文明行为减</w:t>
            </w:r>
            <w:r>
              <w:t>2</w:t>
            </w:r>
            <w:r>
              <w:rPr>
                <w:rFonts w:hint="eastAsia"/>
              </w:rPr>
              <w:t>分。每举报</w:t>
            </w:r>
            <w:r>
              <w:t>1</w:t>
            </w:r>
            <w:r>
              <w:rPr>
                <w:rFonts w:hint="eastAsia"/>
              </w:rPr>
              <w:t>人次减</w:t>
            </w:r>
            <w:r>
              <w:t>4</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10</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不得发生争吵、打骂等不文明行为</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按规定时间开饭、回收餐具</w:t>
            </w:r>
          </w:p>
        </w:tc>
        <w:tc>
          <w:tcPr>
            <w:tcW w:w="1895" w:type="dxa"/>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发现</w:t>
            </w:r>
            <w:r>
              <w:t>1</w:t>
            </w:r>
            <w:r>
              <w:rPr>
                <w:rFonts w:hint="eastAsia"/>
              </w:rPr>
              <w:t>次减</w:t>
            </w:r>
            <w:r>
              <w:t>1</w:t>
            </w:r>
            <w:r>
              <w:rPr>
                <w:rFonts w:hint="eastAsia"/>
              </w:rPr>
              <w:t>分</w:t>
            </w: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卫生标准</w:t>
            </w:r>
            <w:r>
              <w:t xml:space="preserve"> (42</w:t>
            </w:r>
            <w:r>
              <w:rPr>
                <w:rFonts w:hint="eastAsia"/>
              </w:rPr>
              <w:t>分）</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制作</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原料、半成品、成品的加工、存放及使用容器是否存在交叉污染并有明显的区分标志</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存在交叉污染并无明显的区分标志减</w:t>
            </w:r>
            <w:r>
              <w:t>2</w:t>
            </w:r>
            <w:r>
              <w:rPr>
                <w:rFonts w:hint="eastAsia"/>
              </w:rPr>
              <w:t>分，生、熟食品未分开且食品存放没有分类分架减</w:t>
            </w:r>
            <w:r>
              <w:t>3</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12</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生、熟食品分开</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食品存放分类分架</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无过期、变质食品原材料</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厨房</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灯管、风扇、鲜风机、排气扇、墙壁、抽油烟机干净无油污、灰尘、蜘蛛网、尘渍</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有一项不清洁减</w:t>
            </w:r>
            <w:r>
              <w:t>2</w:t>
            </w:r>
            <w:r>
              <w:rPr>
                <w:rFonts w:hint="eastAsia"/>
              </w:rPr>
              <w:t>分。无消毒作业减</w:t>
            </w:r>
            <w:r>
              <w:lastRenderedPageBreak/>
              <w:t>3</w:t>
            </w:r>
            <w:r>
              <w:rPr>
                <w:rFonts w:hint="eastAsia"/>
              </w:rPr>
              <w:t>分。不按食品安全工作规定执行减</w:t>
            </w:r>
            <w:r>
              <w:t>2</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lastRenderedPageBreak/>
              <w:t>18</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各种蒸饭、煲汤炉具整洁，里外干净光亮，饭盘无饭粒</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工作间地面干净、无积水、无杂物</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货架经常擦拭，保持干净，各种刀具手套摆放整齐</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5.</w:t>
            </w:r>
            <w:r>
              <w:rPr>
                <w:rFonts w:hint="eastAsia"/>
              </w:rPr>
              <w:t>操作台、灶台及售饭台干净整洁</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6.</w:t>
            </w:r>
            <w:r>
              <w:rPr>
                <w:rFonts w:hint="eastAsia"/>
              </w:rPr>
              <w:t>洗菜池、炊具、餐具、菜具、熟食容器定期消毒并保持清洁，做到“一洗二清三冲四消毒”</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7.</w:t>
            </w:r>
            <w:r>
              <w:rPr>
                <w:rFonts w:hint="eastAsia"/>
              </w:rPr>
              <w:t>各种机器设备保持整洁，标示清晰</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8.</w:t>
            </w:r>
            <w:r>
              <w:rPr>
                <w:rFonts w:hint="eastAsia"/>
              </w:rPr>
              <w:t>下水道无菜渣、无尘渍、堵塞等现象</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 w:rsidR="00DD0B5C" w:rsidRDefault="00DD0B5C">
            <w:r>
              <w:rPr>
                <w:rFonts w:hint="eastAsia"/>
              </w:rPr>
              <w:t>餐厅</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餐厅地面每日清扫，地面整洁，</w:t>
            </w:r>
          </w:p>
        </w:tc>
        <w:tc>
          <w:tcPr>
            <w:tcW w:w="1895"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 w:rsidR="00DD0B5C" w:rsidRDefault="00DD0B5C">
            <w:r>
              <w:rPr>
                <w:rFonts w:hint="eastAsia"/>
              </w:rPr>
              <w:t>发现一次</w:t>
            </w:r>
            <w:r>
              <w:t>/</w:t>
            </w:r>
            <w:r>
              <w:rPr>
                <w:rFonts w:hint="eastAsia"/>
              </w:rPr>
              <w:t>一项减</w:t>
            </w:r>
            <w:r>
              <w:t>1</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5</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桌椅摆成一条线，桌椅、壁柜洁净无污渍、桌面无菜渣、水渍</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水房、餐余回收处干净整洁、无残渣。</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库房</w:t>
            </w: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地面保持清洁</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有一次</w:t>
            </w:r>
            <w:r>
              <w:t>/</w:t>
            </w:r>
            <w:r>
              <w:rPr>
                <w:rFonts w:hint="eastAsia"/>
              </w:rPr>
              <w:t>一项不清洁减</w:t>
            </w:r>
            <w:r>
              <w:t>1</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5</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所有食物必须上架，禁止随意摆放</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夏季须保持通风换气，库房无异味，保持蔬菜新鲜</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4.</w:t>
            </w:r>
            <w:r>
              <w:rPr>
                <w:rFonts w:hint="eastAsia"/>
              </w:rPr>
              <w:t>冰箱责任落实到的人，标志、温控清楚，外表整洁、生熟分区标志清晰，冰箱内结霜适中，摆放整齐</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日常</w:t>
            </w:r>
            <w:r>
              <w:t xml:space="preserve">  </w:t>
            </w:r>
            <w:r>
              <w:rPr>
                <w:rFonts w:hint="eastAsia"/>
              </w:rPr>
              <w:t>管理</w:t>
            </w:r>
            <w:r>
              <w:t xml:space="preserve">   (8</w:t>
            </w:r>
            <w:r>
              <w:rPr>
                <w:rFonts w:hint="eastAsia"/>
              </w:rPr>
              <w:t>分）</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1.</w:t>
            </w:r>
            <w:r>
              <w:rPr>
                <w:rFonts w:hint="eastAsia"/>
              </w:rPr>
              <w:t>严禁非食堂人员随意进入厨房及食品库房</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r>
              <w:rPr>
                <w:rFonts w:hint="eastAsia"/>
              </w:rPr>
              <w:t>发现一次扣</w:t>
            </w:r>
            <w:r>
              <w:t>2</w:t>
            </w:r>
            <w:r>
              <w:rPr>
                <w:rFonts w:hint="eastAsia"/>
              </w:rPr>
              <w:t>分</w:t>
            </w:r>
          </w:p>
        </w:tc>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DD0B5C" w:rsidRDefault="00DD0B5C">
            <w:pPr>
              <w:rPr>
                <w:rFonts w:cs="宋体"/>
              </w:rPr>
            </w:pPr>
            <w:r>
              <w:t>8</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DD0B5C" w:rsidRDefault="00DD0B5C">
            <w:pPr>
              <w:rPr>
                <w:rFonts w:cs="Times New Roman"/>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2.</w:t>
            </w:r>
            <w:r>
              <w:rPr>
                <w:rFonts w:hint="eastAsia"/>
              </w:rPr>
              <w:t>合理的使用水电，做到人走灯灭，开水机及时断电，杜绝长流水、长明灯现象</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r w:rsidR="00DD0B5C" w:rsidTr="00DD0B5C">
        <w:trPr>
          <w:cantSplit/>
          <w:trHeight w:val="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D0B5C" w:rsidRDefault="00DD0B5C">
            <w:r>
              <w:t>3.</w:t>
            </w:r>
            <w:r>
              <w:rPr>
                <w:rFonts w:hint="eastAsia"/>
              </w:rPr>
              <w:t>制作食品严禁原材料浪费</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rFonts w:cs="宋体"/>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D0B5C" w:rsidRDefault="00DD0B5C">
            <w:pPr>
              <w:widowControl/>
              <w:jc w:val="left"/>
              <w:rPr>
                <w:szCs w:val="24"/>
              </w:rPr>
            </w:pPr>
          </w:p>
        </w:tc>
      </w:tr>
    </w:tbl>
    <w:p w:rsidR="00DD0B5C" w:rsidRDefault="00DD0B5C" w:rsidP="00DD0B5C">
      <w:pPr>
        <w:rPr>
          <w:rFonts w:cs="Times New Roman"/>
          <w:bCs/>
        </w:rPr>
      </w:pPr>
    </w:p>
    <w:p w:rsidR="00DD0B5C" w:rsidRDefault="00DD0B5C" w:rsidP="00DD0B5C">
      <w:pPr>
        <w:pStyle w:val="a5"/>
        <w:widowControl/>
        <w:shd w:val="clear" w:color="auto" w:fill="FFFFFF"/>
        <w:spacing w:before="0" w:beforeAutospacing="0" w:after="0" w:afterAutospacing="0" w:line="360" w:lineRule="auto"/>
      </w:pPr>
      <w:r>
        <w:rPr>
          <w:rFonts w:hint="eastAsia"/>
          <w:color w:val="212529"/>
          <w:sz w:val="28"/>
          <w:szCs w:val="28"/>
        </w:rPr>
        <w:t>附件2：食堂满意度调查表</w:t>
      </w:r>
    </w:p>
    <w:tbl>
      <w:tblPr>
        <w:tblW w:w="86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
        <w:gridCol w:w="961"/>
        <w:gridCol w:w="961"/>
        <w:gridCol w:w="961"/>
        <w:gridCol w:w="961"/>
        <w:gridCol w:w="961"/>
        <w:gridCol w:w="961"/>
        <w:gridCol w:w="961"/>
        <w:gridCol w:w="962"/>
      </w:tblGrid>
      <w:tr w:rsidR="00DD0B5C" w:rsidTr="00DD0B5C">
        <w:trPr>
          <w:trHeight w:val="267"/>
          <w:tblCellSpacing w:w="0" w:type="dxa"/>
        </w:trPr>
        <w:tc>
          <w:tcPr>
            <w:tcW w:w="2883"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bookmarkStart w:id="1" w:name="OLE_LINK1"/>
            <w:r>
              <w:rPr>
                <w:rFonts w:hint="eastAsia"/>
              </w:rPr>
              <w:t>饭菜质量</w:t>
            </w:r>
            <w:r>
              <w:t>35</w:t>
            </w:r>
            <w:r>
              <w:rPr>
                <w:rFonts w:hint="eastAsia"/>
              </w:rPr>
              <w:t>分</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服务质量</w:t>
            </w:r>
            <w:r>
              <w:t>35</w:t>
            </w:r>
            <w:r>
              <w:rPr>
                <w:rFonts w:hint="eastAsia"/>
              </w:rPr>
              <w:t>分</w:t>
            </w:r>
          </w:p>
        </w:tc>
        <w:tc>
          <w:tcPr>
            <w:tcW w:w="2884"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卫生状况</w:t>
            </w:r>
            <w:r>
              <w:t>30</w:t>
            </w:r>
            <w:r>
              <w:rPr>
                <w:rFonts w:hint="eastAsia"/>
              </w:rPr>
              <w:t>分</w:t>
            </w:r>
          </w:p>
        </w:tc>
      </w:tr>
      <w:tr w:rsidR="00DD0B5C" w:rsidTr="00DD0B5C">
        <w:trPr>
          <w:trHeight w:val="889"/>
          <w:tblCellSpacing w:w="0" w:type="dxa"/>
        </w:trPr>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rPr>
                <w:bCs/>
              </w:rPr>
            </w:pPr>
            <w:r>
              <w:rPr>
                <w:rFonts w:hint="eastAsia"/>
              </w:rPr>
              <w:t>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rPr>
                <w:bCs/>
              </w:rPr>
            </w:pPr>
            <w:r>
              <w:rPr>
                <w:rFonts w:hint="eastAsia"/>
              </w:rPr>
              <w:t>基本</w:t>
            </w:r>
          </w:p>
          <w:p w:rsidR="00DD0B5C" w:rsidRDefault="00DD0B5C">
            <w:pPr>
              <w:rPr>
                <w:bCs/>
              </w:rPr>
            </w:pPr>
            <w:r>
              <w:rPr>
                <w:rFonts w:hint="eastAsia"/>
              </w:rPr>
              <w:t>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不满意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rPr>
                <w:bCs/>
              </w:rPr>
            </w:pPr>
            <w:r>
              <w:rPr>
                <w:rFonts w:hint="eastAsia"/>
              </w:rPr>
              <w:t>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rPr>
                <w:bCs/>
              </w:rPr>
            </w:pPr>
            <w:r>
              <w:rPr>
                <w:rFonts w:hint="eastAsia"/>
              </w:rPr>
              <w:t>基本</w:t>
            </w:r>
          </w:p>
          <w:p w:rsidR="00DD0B5C" w:rsidRDefault="00DD0B5C">
            <w:pPr>
              <w:jc w:val="center"/>
              <w:rPr>
                <w:bCs/>
              </w:rPr>
            </w:pPr>
            <w:r>
              <w:rPr>
                <w:rFonts w:hint="eastAsia"/>
              </w:rPr>
              <w:t>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不满意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满意</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基本</w:t>
            </w:r>
          </w:p>
          <w:p w:rsidR="00DD0B5C" w:rsidRDefault="00DD0B5C">
            <w:pPr>
              <w:jc w:val="center"/>
            </w:pPr>
            <w:r>
              <w:rPr>
                <w:rFonts w:hint="eastAsia"/>
              </w:rPr>
              <w:t>满意</w:t>
            </w:r>
          </w:p>
        </w:tc>
        <w:tc>
          <w:tcPr>
            <w:tcW w:w="962"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不满意</w:t>
            </w:r>
          </w:p>
        </w:tc>
      </w:tr>
      <w:tr w:rsidR="00DD0B5C" w:rsidTr="00DD0B5C">
        <w:trPr>
          <w:trHeight w:val="863"/>
          <w:tblCellSpacing w:w="0" w:type="dxa"/>
        </w:trPr>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r>
              <w:t>35</w:t>
            </w:r>
            <w:r>
              <w:rPr>
                <w:rFonts w:hint="eastAsia"/>
              </w:rPr>
              <w:t>－</w:t>
            </w:r>
            <w:r>
              <w:t>30</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r>
              <w:t>30</w:t>
            </w:r>
            <w:r>
              <w:rPr>
                <w:rFonts w:hint="eastAsia"/>
              </w:rPr>
              <w:t>－</w:t>
            </w:r>
            <w:r>
              <w:t>20</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20</w:t>
            </w:r>
            <w:r>
              <w:rPr>
                <w:rFonts w:hint="eastAsia"/>
              </w:rPr>
              <w:t>分以下</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35</w:t>
            </w:r>
            <w:r>
              <w:rPr>
                <w:rFonts w:hint="eastAsia"/>
              </w:rPr>
              <w:t>－</w:t>
            </w:r>
            <w:r>
              <w:t>30</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30</w:t>
            </w:r>
            <w:r>
              <w:rPr>
                <w:rFonts w:hint="eastAsia"/>
              </w:rPr>
              <w:t>－</w:t>
            </w:r>
            <w:r>
              <w:t>20</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20</w:t>
            </w:r>
            <w:r>
              <w:rPr>
                <w:rFonts w:hint="eastAsia"/>
              </w:rPr>
              <w:t>分以下</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30</w:t>
            </w:r>
            <w:r>
              <w:rPr>
                <w:rFonts w:hint="eastAsia"/>
              </w:rPr>
              <w:t>－</w:t>
            </w:r>
            <w:r>
              <w:t>25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25</w:t>
            </w:r>
            <w:r>
              <w:rPr>
                <w:rFonts w:hint="eastAsia"/>
              </w:rPr>
              <w:t>－</w:t>
            </w:r>
            <w:r>
              <w:t>20</w:t>
            </w:r>
          </w:p>
        </w:tc>
        <w:tc>
          <w:tcPr>
            <w:tcW w:w="962" w:type="dxa"/>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t>20</w:t>
            </w:r>
            <w:r>
              <w:rPr>
                <w:rFonts w:hint="eastAsia"/>
              </w:rPr>
              <w:t>分以下</w:t>
            </w:r>
          </w:p>
        </w:tc>
      </w:tr>
      <w:tr w:rsidR="00DD0B5C" w:rsidTr="00DD0B5C">
        <w:trPr>
          <w:trHeight w:val="465"/>
          <w:tblCellSpacing w:w="0" w:type="dxa"/>
        </w:trPr>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1"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962" w:type="dxa"/>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r>
      <w:tr w:rsidR="00DD0B5C" w:rsidTr="00DD0B5C">
        <w:trPr>
          <w:trHeight w:val="251"/>
          <w:tblCellSpacing w:w="0" w:type="dxa"/>
        </w:trPr>
        <w:tc>
          <w:tcPr>
            <w:tcW w:w="2883"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得分</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得分</w:t>
            </w:r>
          </w:p>
        </w:tc>
        <w:tc>
          <w:tcPr>
            <w:tcW w:w="2884" w:type="dxa"/>
            <w:gridSpan w:val="3"/>
            <w:tcBorders>
              <w:top w:val="single" w:sz="4" w:space="0" w:color="auto"/>
              <w:left w:val="single" w:sz="4" w:space="0" w:color="auto"/>
              <w:bottom w:val="single" w:sz="4" w:space="0" w:color="auto"/>
              <w:right w:val="single" w:sz="4" w:space="0" w:color="auto"/>
            </w:tcBorders>
            <w:vAlign w:val="center"/>
            <w:hideMark/>
          </w:tcPr>
          <w:p w:rsidR="00DD0B5C" w:rsidRDefault="00DD0B5C">
            <w:pPr>
              <w:jc w:val="center"/>
            </w:pPr>
            <w:r>
              <w:rPr>
                <w:rFonts w:hint="eastAsia"/>
              </w:rPr>
              <w:t>得分</w:t>
            </w:r>
          </w:p>
        </w:tc>
      </w:tr>
      <w:tr w:rsidR="00DD0B5C" w:rsidTr="00DD0B5C">
        <w:trPr>
          <w:trHeight w:val="274"/>
          <w:tblCellSpacing w:w="0" w:type="dxa"/>
        </w:trPr>
        <w:tc>
          <w:tcPr>
            <w:tcW w:w="2883" w:type="dxa"/>
            <w:gridSpan w:val="3"/>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DD0B5C" w:rsidRDefault="00DD0B5C">
            <w:pPr>
              <w:jc w:val="center"/>
            </w:pPr>
          </w:p>
        </w:tc>
      </w:tr>
    </w:tbl>
    <w:bookmarkEnd w:id="1"/>
    <w:p w:rsidR="00DD0B5C" w:rsidRPr="00DD0B5C" w:rsidRDefault="007D162D" w:rsidP="00DD0B5C">
      <w:pPr>
        <w:pStyle w:val="a5"/>
        <w:widowControl/>
        <w:shd w:val="clear" w:color="auto" w:fill="FFFFFF"/>
        <w:spacing w:before="0" w:beforeAutospacing="0" w:after="0" w:afterAutospacing="0" w:line="360" w:lineRule="auto"/>
        <w:ind w:firstLineChars="200" w:firstLine="560"/>
      </w:pPr>
      <w:r w:rsidRPr="007D162D">
        <w:rPr>
          <w:rFonts w:hint="eastAsia"/>
          <w:color w:val="212529"/>
          <w:sz w:val="28"/>
          <w:szCs w:val="28"/>
        </w:rPr>
        <w:lastRenderedPageBreak/>
        <w:t>甲方有权根据合同要求和食堂服务月度考核情况，结合员工满意度（甲方和乙方共同抽样调查）对乙方服务考核。如连续三个月以上未达75分，甲方有权要求乙方整改，对于整改不到位的情况甲方有权当方面终止合同。合同期内结合月度考核和满意度调查，分数不低于75分，甲方可与乙方续签合同。</w:t>
      </w:r>
    </w:p>
    <w:sectPr w:rsidR="00DD0B5C" w:rsidRPr="00DD0B5C" w:rsidSect="000D1345">
      <w:pgSz w:w="11906" w:h="16838"/>
      <w:pgMar w:top="1985" w:right="1531" w:bottom="2098" w:left="153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BA" w:rsidRDefault="009619BA" w:rsidP="00E34884">
      <w:r>
        <w:separator/>
      </w:r>
    </w:p>
  </w:endnote>
  <w:endnote w:type="continuationSeparator" w:id="0">
    <w:p w:rsidR="009619BA" w:rsidRDefault="009619BA" w:rsidP="00E3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小标宋简体">
    <w:altName w:val="宋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BA" w:rsidRDefault="009619BA" w:rsidP="00E34884">
      <w:r>
        <w:separator/>
      </w:r>
    </w:p>
  </w:footnote>
  <w:footnote w:type="continuationSeparator" w:id="0">
    <w:p w:rsidR="009619BA" w:rsidRDefault="009619BA" w:rsidP="00E3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A78C7"/>
    <w:multiLevelType w:val="singleLevel"/>
    <w:tmpl w:val="2F2A78C7"/>
    <w:lvl w:ilvl="0">
      <w:start w:val="1"/>
      <w:numFmt w:val="decimal"/>
      <w:lvlText w:val="%1."/>
      <w:lvlJc w:val="left"/>
      <w:pPr>
        <w:tabs>
          <w:tab w:val="left" w:pos="312"/>
        </w:tabs>
      </w:pPr>
      <w:rPr>
        <w:rFonts w:cs="Times New Roman"/>
      </w:rPr>
    </w:lvl>
  </w:abstractNum>
  <w:abstractNum w:abstractNumId="1">
    <w:nsid w:val="46C0E73A"/>
    <w:multiLevelType w:val="singleLevel"/>
    <w:tmpl w:val="46C0E73A"/>
    <w:lvl w:ilvl="0">
      <w:start w:val="1"/>
      <w:numFmt w:val="chineseCounting"/>
      <w:pStyle w:val="a"/>
      <w:suff w:val="nothing"/>
      <w:lvlText w:val="%1、"/>
      <w:lvlJc w:val="left"/>
      <w:rPr>
        <w:rFonts w:cs="Times New Roman" w:hint="eastAsia"/>
      </w:rPr>
    </w:lvl>
  </w:abstractNum>
  <w:abstractNum w:abstractNumId="2">
    <w:nsid w:val="7DA15421"/>
    <w:multiLevelType w:val="multilevel"/>
    <w:tmpl w:val="7DA1542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8B096A"/>
    <w:rsid w:val="00024F5B"/>
    <w:rsid w:val="00027DCD"/>
    <w:rsid w:val="000662A4"/>
    <w:rsid w:val="000709A5"/>
    <w:rsid w:val="00090B66"/>
    <w:rsid w:val="000B3BFB"/>
    <w:rsid w:val="000C5588"/>
    <w:rsid w:val="000D1345"/>
    <w:rsid w:val="000F3E00"/>
    <w:rsid w:val="00140D0A"/>
    <w:rsid w:val="00144B12"/>
    <w:rsid w:val="00151606"/>
    <w:rsid w:val="001A76B6"/>
    <w:rsid w:val="001F32B9"/>
    <w:rsid w:val="00204F09"/>
    <w:rsid w:val="00210A10"/>
    <w:rsid w:val="00250EFA"/>
    <w:rsid w:val="00271C02"/>
    <w:rsid w:val="002B3C56"/>
    <w:rsid w:val="002B5BBA"/>
    <w:rsid w:val="00326338"/>
    <w:rsid w:val="003437ED"/>
    <w:rsid w:val="00361ED4"/>
    <w:rsid w:val="003730B1"/>
    <w:rsid w:val="003B15BD"/>
    <w:rsid w:val="003C330D"/>
    <w:rsid w:val="003E26F7"/>
    <w:rsid w:val="003E6715"/>
    <w:rsid w:val="004309BD"/>
    <w:rsid w:val="0044195B"/>
    <w:rsid w:val="00484C7F"/>
    <w:rsid w:val="00486412"/>
    <w:rsid w:val="004B33BF"/>
    <w:rsid w:val="004C5018"/>
    <w:rsid w:val="004F5CAD"/>
    <w:rsid w:val="00504B19"/>
    <w:rsid w:val="00511E90"/>
    <w:rsid w:val="00513242"/>
    <w:rsid w:val="005147B3"/>
    <w:rsid w:val="00524FBD"/>
    <w:rsid w:val="005B0664"/>
    <w:rsid w:val="005B6B25"/>
    <w:rsid w:val="005B78C0"/>
    <w:rsid w:val="005C4ADA"/>
    <w:rsid w:val="005F6802"/>
    <w:rsid w:val="00610DB8"/>
    <w:rsid w:val="00612586"/>
    <w:rsid w:val="0062589B"/>
    <w:rsid w:val="00646F37"/>
    <w:rsid w:val="00667BF4"/>
    <w:rsid w:val="0067308B"/>
    <w:rsid w:val="006803EA"/>
    <w:rsid w:val="00694DEB"/>
    <w:rsid w:val="006A66F1"/>
    <w:rsid w:val="006E0512"/>
    <w:rsid w:val="00722EC1"/>
    <w:rsid w:val="00737771"/>
    <w:rsid w:val="00763714"/>
    <w:rsid w:val="00781021"/>
    <w:rsid w:val="007A31CD"/>
    <w:rsid w:val="007D162D"/>
    <w:rsid w:val="007D2A62"/>
    <w:rsid w:val="007D3114"/>
    <w:rsid w:val="007D45D3"/>
    <w:rsid w:val="007E7D69"/>
    <w:rsid w:val="00827526"/>
    <w:rsid w:val="00860341"/>
    <w:rsid w:val="008878F8"/>
    <w:rsid w:val="008966E7"/>
    <w:rsid w:val="008A6744"/>
    <w:rsid w:val="008C2C29"/>
    <w:rsid w:val="008C50D6"/>
    <w:rsid w:val="008C7FD1"/>
    <w:rsid w:val="008D2263"/>
    <w:rsid w:val="009310C9"/>
    <w:rsid w:val="00942D54"/>
    <w:rsid w:val="009619BA"/>
    <w:rsid w:val="009927A2"/>
    <w:rsid w:val="00997E93"/>
    <w:rsid w:val="009C0765"/>
    <w:rsid w:val="009D0FCA"/>
    <w:rsid w:val="00A102C3"/>
    <w:rsid w:val="00A22A65"/>
    <w:rsid w:val="00A74CA6"/>
    <w:rsid w:val="00AA67C5"/>
    <w:rsid w:val="00AA7C9D"/>
    <w:rsid w:val="00AD2F19"/>
    <w:rsid w:val="00AE69DF"/>
    <w:rsid w:val="00AF5451"/>
    <w:rsid w:val="00B114F1"/>
    <w:rsid w:val="00B25158"/>
    <w:rsid w:val="00B53E8E"/>
    <w:rsid w:val="00C03F01"/>
    <w:rsid w:val="00C14ABC"/>
    <w:rsid w:val="00C32991"/>
    <w:rsid w:val="00C60E8B"/>
    <w:rsid w:val="00C635B7"/>
    <w:rsid w:val="00C83110"/>
    <w:rsid w:val="00C84391"/>
    <w:rsid w:val="00CF2928"/>
    <w:rsid w:val="00D02B98"/>
    <w:rsid w:val="00D34D96"/>
    <w:rsid w:val="00D42688"/>
    <w:rsid w:val="00D47803"/>
    <w:rsid w:val="00D75A1A"/>
    <w:rsid w:val="00D77194"/>
    <w:rsid w:val="00DD0B5C"/>
    <w:rsid w:val="00DD2255"/>
    <w:rsid w:val="00DE1211"/>
    <w:rsid w:val="00E1006F"/>
    <w:rsid w:val="00E20F79"/>
    <w:rsid w:val="00E21456"/>
    <w:rsid w:val="00E244F5"/>
    <w:rsid w:val="00E34884"/>
    <w:rsid w:val="00E52F0E"/>
    <w:rsid w:val="00E80E15"/>
    <w:rsid w:val="00E90C68"/>
    <w:rsid w:val="00E926FC"/>
    <w:rsid w:val="00EA0BC9"/>
    <w:rsid w:val="00EA3593"/>
    <w:rsid w:val="00ED06DC"/>
    <w:rsid w:val="00ED6D37"/>
    <w:rsid w:val="00EE5FC0"/>
    <w:rsid w:val="00F52CBB"/>
    <w:rsid w:val="00F53440"/>
    <w:rsid w:val="00F70ACC"/>
    <w:rsid w:val="00FC4CEA"/>
    <w:rsid w:val="09635820"/>
    <w:rsid w:val="128C3803"/>
    <w:rsid w:val="16435CB1"/>
    <w:rsid w:val="1F40544F"/>
    <w:rsid w:val="223B631D"/>
    <w:rsid w:val="2F8D4A24"/>
    <w:rsid w:val="34E74304"/>
    <w:rsid w:val="408B096A"/>
    <w:rsid w:val="42A53AA5"/>
    <w:rsid w:val="43866F6B"/>
    <w:rsid w:val="4EAC2714"/>
    <w:rsid w:val="58837D9C"/>
    <w:rsid w:val="674F2631"/>
    <w:rsid w:val="698054AA"/>
    <w:rsid w:val="6B215B32"/>
    <w:rsid w:val="6C762D08"/>
    <w:rsid w:val="7B43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9B6388A-3B26-42AB-91A6-0D65B43B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99" w:qFormat="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204F09"/>
    <w:pPr>
      <w:widowControl w:val="0"/>
      <w:jc w:val="both"/>
    </w:pPr>
    <w:rPr>
      <w:rFonts w:cs="Calibri"/>
      <w:kern w:val="2"/>
      <w:sz w:val="21"/>
      <w:szCs w:val="21"/>
    </w:rPr>
  </w:style>
  <w:style w:type="paragraph" w:styleId="1">
    <w:name w:val="heading 1"/>
    <w:basedOn w:val="a0"/>
    <w:next w:val="a0"/>
    <w:link w:val="1Char"/>
    <w:qFormat/>
    <w:locked/>
    <w:rsid w:val="0067308B"/>
    <w:pPr>
      <w:keepNext/>
      <w:keepLines/>
      <w:spacing w:before="340" w:after="330" w:line="578" w:lineRule="auto"/>
      <w:outlineLvl w:val="0"/>
    </w:pPr>
    <w:rPr>
      <w:b/>
      <w:bCs/>
      <w:kern w:val="44"/>
      <w:sz w:val="44"/>
      <w:szCs w:val="44"/>
    </w:rPr>
  </w:style>
  <w:style w:type="paragraph" w:styleId="2">
    <w:name w:val="heading 2"/>
    <w:basedOn w:val="3"/>
    <w:next w:val="4"/>
    <w:link w:val="2Char"/>
    <w:qFormat/>
    <w:rsid w:val="00204F09"/>
    <w:pPr>
      <w:adjustRightInd w:val="0"/>
      <w:spacing w:line="240" w:lineRule="auto"/>
      <w:jc w:val="center"/>
      <w:textAlignment w:val="baseline"/>
      <w:outlineLvl w:val="1"/>
    </w:pPr>
    <w:rPr>
      <w:rFonts w:ascii="宋体" w:hAnsi="宋体" w:cs="宋体"/>
      <w:kern w:val="0"/>
      <w:sz w:val="24"/>
      <w:szCs w:val="24"/>
    </w:rPr>
  </w:style>
  <w:style w:type="paragraph" w:styleId="3">
    <w:name w:val="heading 3"/>
    <w:basedOn w:val="a0"/>
    <w:next w:val="a0"/>
    <w:link w:val="3Char"/>
    <w:qFormat/>
    <w:rsid w:val="00204F09"/>
    <w:pPr>
      <w:keepNext/>
      <w:keepLines/>
      <w:spacing w:before="260" w:after="260" w:line="416" w:lineRule="auto"/>
      <w:outlineLvl w:val="2"/>
    </w:pPr>
    <w:rPr>
      <w:b/>
      <w:bCs/>
      <w:sz w:val="32"/>
      <w:szCs w:val="32"/>
    </w:rPr>
  </w:style>
  <w:style w:type="paragraph" w:styleId="4">
    <w:name w:val="heading 4"/>
    <w:basedOn w:val="a0"/>
    <w:next w:val="a0"/>
    <w:link w:val="4Char"/>
    <w:qFormat/>
    <w:rsid w:val="00204F09"/>
    <w:pPr>
      <w:keepNext/>
      <w:keepLines/>
      <w:spacing w:before="280" w:after="290" w:line="376" w:lineRule="auto"/>
      <w:outlineLvl w:val="3"/>
    </w:pPr>
    <w:rPr>
      <w:rFonts w:ascii="Cambria" w:hAnsi="Cambria" w:cs="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
    <w:semiHidden/>
    <w:locked/>
    <w:rPr>
      <w:rFonts w:ascii="Cambria" w:eastAsia="宋体" w:hAnsi="Cambria" w:cs="Times New Roman"/>
      <w:b/>
      <w:bCs/>
      <w:sz w:val="32"/>
      <w:szCs w:val="32"/>
    </w:rPr>
  </w:style>
  <w:style w:type="character" w:customStyle="1" w:styleId="3Char">
    <w:name w:val="标题 3 Char"/>
    <w:link w:val="3"/>
    <w:semiHidden/>
    <w:locked/>
    <w:rPr>
      <w:rFonts w:cs="Calibri"/>
      <w:b/>
      <w:bCs/>
      <w:sz w:val="32"/>
      <w:szCs w:val="32"/>
    </w:rPr>
  </w:style>
  <w:style w:type="character" w:customStyle="1" w:styleId="4Char">
    <w:name w:val="标题 4 Char"/>
    <w:link w:val="4"/>
    <w:semiHidden/>
    <w:locked/>
    <w:rPr>
      <w:rFonts w:ascii="Cambria" w:eastAsia="宋体" w:hAnsi="Cambria" w:cs="Times New Roman"/>
      <w:b/>
      <w:bCs/>
      <w:sz w:val="28"/>
      <w:szCs w:val="28"/>
    </w:rPr>
  </w:style>
  <w:style w:type="paragraph" w:styleId="a1">
    <w:name w:val="Body Text"/>
    <w:basedOn w:val="a0"/>
    <w:link w:val="Char"/>
    <w:rsid w:val="00204F09"/>
    <w:rPr>
      <w:rFonts w:ascii="Times New Roman" w:hAnsi="Times New Roman" w:cs="Times New Roman"/>
      <w:sz w:val="32"/>
      <w:szCs w:val="32"/>
    </w:rPr>
  </w:style>
  <w:style w:type="character" w:customStyle="1" w:styleId="Char">
    <w:name w:val="正文文本 Char"/>
    <w:link w:val="a1"/>
    <w:semiHidden/>
    <w:locked/>
    <w:rPr>
      <w:rFonts w:cs="Calibri"/>
      <w:sz w:val="21"/>
      <w:szCs w:val="21"/>
    </w:rPr>
  </w:style>
  <w:style w:type="paragraph" w:styleId="a5">
    <w:name w:val="Normal (Web)"/>
    <w:basedOn w:val="a0"/>
    <w:qFormat/>
    <w:rsid w:val="00204F09"/>
    <w:pPr>
      <w:spacing w:before="100" w:beforeAutospacing="1" w:after="100" w:afterAutospacing="1"/>
      <w:jc w:val="left"/>
    </w:pPr>
    <w:rPr>
      <w:rFonts w:ascii="宋体" w:hAnsi="宋体" w:cs="宋体"/>
      <w:kern w:val="0"/>
      <w:sz w:val="24"/>
      <w:szCs w:val="24"/>
    </w:rPr>
  </w:style>
  <w:style w:type="table" w:styleId="a6">
    <w:name w:val="Table Grid"/>
    <w:basedOn w:val="a3"/>
    <w:rsid w:val="00204F09"/>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204F09"/>
    <w:rPr>
      <w:rFonts w:cs="Times New Roman"/>
      <w:color w:val="auto"/>
      <w:u w:val="single"/>
    </w:rPr>
  </w:style>
  <w:style w:type="paragraph" w:customStyle="1" w:styleId="10">
    <w:name w:val="列出段落1"/>
    <w:basedOn w:val="a0"/>
    <w:rsid w:val="00204F09"/>
    <w:pPr>
      <w:spacing w:line="320" w:lineRule="exact"/>
      <w:ind w:firstLineChars="200" w:firstLine="420"/>
    </w:pPr>
  </w:style>
  <w:style w:type="character" w:customStyle="1" w:styleId="1Char">
    <w:name w:val="标题 1 Char"/>
    <w:basedOn w:val="a2"/>
    <w:link w:val="1"/>
    <w:rsid w:val="0067308B"/>
    <w:rPr>
      <w:rFonts w:cs="Calibri"/>
      <w:b/>
      <w:bCs/>
      <w:kern w:val="44"/>
      <w:sz w:val="44"/>
      <w:szCs w:val="44"/>
    </w:rPr>
  </w:style>
  <w:style w:type="paragraph" w:styleId="30">
    <w:name w:val="Body Text 3"/>
    <w:basedOn w:val="a0"/>
    <w:link w:val="3Char0"/>
    <w:uiPriority w:val="99"/>
    <w:unhideWhenUsed/>
    <w:qFormat/>
    <w:locked/>
    <w:rsid w:val="0067308B"/>
    <w:pPr>
      <w:widowControl/>
      <w:spacing w:after="120" w:line="276" w:lineRule="auto"/>
      <w:jc w:val="left"/>
    </w:pPr>
    <w:rPr>
      <w:rFonts w:cs="Times New Roman"/>
      <w:kern w:val="0"/>
      <w:sz w:val="16"/>
      <w:szCs w:val="16"/>
      <w:lang w:eastAsia="en-US" w:bidi="en-US"/>
    </w:rPr>
  </w:style>
  <w:style w:type="character" w:customStyle="1" w:styleId="3Char0">
    <w:name w:val="正文文本 3 Char"/>
    <w:basedOn w:val="a2"/>
    <w:link w:val="30"/>
    <w:uiPriority w:val="99"/>
    <w:qFormat/>
    <w:rsid w:val="0067308B"/>
    <w:rPr>
      <w:sz w:val="16"/>
      <w:szCs w:val="16"/>
      <w:lang w:eastAsia="en-US" w:bidi="en-US"/>
    </w:rPr>
  </w:style>
  <w:style w:type="paragraph" w:styleId="11">
    <w:name w:val="toc 1"/>
    <w:basedOn w:val="a0"/>
    <w:next w:val="a0"/>
    <w:uiPriority w:val="39"/>
    <w:unhideWhenUsed/>
    <w:qFormat/>
    <w:locked/>
    <w:rsid w:val="0067308B"/>
    <w:pPr>
      <w:widowControl/>
      <w:spacing w:after="200" w:line="276" w:lineRule="auto"/>
      <w:jc w:val="left"/>
    </w:pPr>
    <w:rPr>
      <w:rFonts w:ascii="仿宋_GB2312" w:eastAsia="仿宋_GB2312" w:hAnsi="仿宋_GB2312" w:cs="Times New Roman"/>
      <w:kern w:val="0"/>
      <w:sz w:val="32"/>
      <w:szCs w:val="24"/>
      <w:lang w:eastAsia="en-US" w:bidi="en-US"/>
    </w:rPr>
  </w:style>
  <w:style w:type="paragraph" w:styleId="20">
    <w:name w:val="toc 2"/>
    <w:basedOn w:val="a0"/>
    <w:next w:val="a0"/>
    <w:uiPriority w:val="39"/>
    <w:unhideWhenUsed/>
    <w:qFormat/>
    <w:locked/>
    <w:rsid w:val="0067308B"/>
    <w:pPr>
      <w:widowControl/>
      <w:spacing w:after="200" w:line="276" w:lineRule="auto"/>
      <w:ind w:leftChars="200" w:left="420"/>
      <w:jc w:val="left"/>
    </w:pPr>
    <w:rPr>
      <w:rFonts w:ascii="仿宋_GB2312" w:eastAsia="仿宋_GB2312" w:hAnsi="仿宋_GB2312" w:cs="Times New Roman"/>
      <w:kern w:val="0"/>
      <w:sz w:val="32"/>
      <w:szCs w:val="24"/>
      <w:lang w:eastAsia="en-US" w:bidi="en-US"/>
    </w:rPr>
  </w:style>
  <w:style w:type="paragraph" w:customStyle="1" w:styleId="a">
    <w:name w:val="蓉生彩蝶正文"/>
    <w:basedOn w:val="a0"/>
    <w:qFormat/>
    <w:rsid w:val="0067308B"/>
    <w:pPr>
      <w:widowControl/>
      <w:numPr>
        <w:numId w:val="1"/>
      </w:numPr>
      <w:spacing w:before="100" w:beforeAutospacing="1" w:after="100" w:afterAutospacing="1" w:line="276" w:lineRule="auto"/>
      <w:jc w:val="left"/>
    </w:pPr>
    <w:rPr>
      <w:rFonts w:ascii="宋体" w:hAnsi="宋体" w:cs="宋体"/>
      <w:kern w:val="0"/>
      <w:sz w:val="22"/>
      <w:szCs w:val="22"/>
      <w:lang w:eastAsia="en-US" w:bidi="en-US"/>
    </w:rPr>
  </w:style>
  <w:style w:type="paragraph" w:customStyle="1" w:styleId="Default">
    <w:name w:val="Default"/>
    <w:uiPriority w:val="99"/>
    <w:qFormat/>
    <w:rsid w:val="0067308B"/>
    <w:pPr>
      <w:widowControl w:val="0"/>
      <w:autoSpaceDE w:val="0"/>
      <w:autoSpaceDN w:val="0"/>
      <w:adjustRightInd w:val="0"/>
      <w:spacing w:after="200" w:line="276" w:lineRule="auto"/>
    </w:pPr>
    <w:rPr>
      <w:rFonts w:ascii="宋体" w:hAnsi="Times New Roman" w:cs="宋体"/>
      <w:color w:val="000000"/>
      <w:sz w:val="24"/>
      <w:szCs w:val="24"/>
    </w:rPr>
  </w:style>
  <w:style w:type="paragraph" w:styleId="a8">
    <w:name w:val="header"/>
    <w:basedOn w:val="a0"/>
    <w:link w:val="Char0"/>
    <w:locked/>
    <w:rsid w:val="00E34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8"/>
    <w:rsid w:val="00E34884"/>
    <w:rPr>
      <w:rFonts w:cs="Calibri"/>
      <w:kern w:val="2"/>
      <w:sz w:val="18"/>
      <w:szCs w:val="18"/>
    </w:rPr>
  </w:style>
  <w:style w:type="paragraph" w:styleId="a9">
    <w:name w:val="footer"/>
    <w:basedOn w:val="a0"/>
    <w:link w:val="Char1"/>
    <w:locked/>
    <w:rsid w:val="00E34884"/>
    <w:pPr>
      <w:tabs>
        <w:tab w:val="center" w:pos="4153"/>
        <w:tab w:val="right" w:pos="8306"/>
      </w:tabs>
      <w:snapToGrid w:val="0"/>
      <w:jc w:val="left"/>
    </w:pPr>
    <w:rPr>
      <w:sz w:val="18"/>
      <w:szCs w:val="18"/>
    </w:rPr>
  </w:style>
  <w:style w:type="character" w:customStyle="1" w:styleId="Char1">
    <w:name w:val="页脚 Char"/>
    <w:basedOn w:val="a2"/>
    <w:link w:val="a9"/>
    <w:rsid w:val="00E34884"/>
    <w:rPr>
      <w:rFonts w:cs="Calibri"/>
      <w:kern w:val="2"/>
      <w:sz w:val="18"/>
      <w:szCs w:val="18"/>
    </w:rPr>
  </w:style>
  <w:style w:type="paragraph" w:styleId="aa">
    <w:name w:val="List Paragraph"/>
    <w:basedOn w:val="a0"/>
    <w:uiPriority w:val="34"/>
    <w:qFormat/>
    <w:rsid w:val="00C84391"/>
    <w:pPr>
      <w:ind w:firstLineChars="200" w:firstLine="420"/>
    </w:pPr>
  </w:style>
  <w:style w:type="paragraph" w:styleId="ab">
    <w:name w:val="Balloon Text"/>
    <w:basedOn w:val="a0"/>
    <w:link w:val="Char2"/>
    <w:locked/>
    <w:rsid w:val="008C2C29"/>
    <w:rPr>
      <w:sz w:val="18"/>
      <w:szCs w:val="18"/>
    </w:rPr>
  </w:style>
  <w:style w:type="character" w:customStyle="1" w:styleId="Char2">
    <w:name w:val="批注框文本 Char"/>
    <w:basedOn w:val="a2"/>
    <w:link w:val="ab"/>
    <w:rsid w:val="008C2C29"/>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814515713">
      <w:bodyDiv w:val="1"/>
      <w:marLeft w:val="0"/>
      <w:marRight w:val="0"/>
      <w:marTop w:val="0"/>
      <w:marBottom w:val="0"/>
      <w:divBdr>
        <w:top w:val="none" w:sz="0" w:space="0" w:color="auto"/>
        <w:left w:val="none" w:sz="0" w:space="0" w:color="auto"/>
        <w:bottom w:val="none" w:sz="0" w:space="0" w:color="auto"/>
        <w:right w:val="none" w:sz="0" w:space="0" w:color="auto"/>
      </w:divBdr>
    </w:div>
    <w:div w:id="20343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626</Words>
  <Characters>3574</Characters>
  <Application>Microsoft Office Word</Application>
  <DocSecurity>0</DocSecurity>
  <Lines>29</Lines>
  <Paragraphs>8</Paragraphs>
  <ScaleCrop>false</ScaleCrop>
  <Company>Microsoft</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国药动保家具采购事项竞争性磋商邀请函</dc:title>
  <dc:subject/>
  <dc:creator>赵思楠</dc:creator>
  <cp:keywords/>
  <dc:description/>
  <cp:lastModifiedBy>国药动保公文收发文员</cp:lastModifiedBy>
  <cp:revision>3</cp:revision>
  <cp:lastPrinted>2024-06-17T11:01:00Z</cp:lastPrinted>
  <dcterms:created xsi:type="dcterms:W3CDTF">2024-07-29T12:44:00Z</dcterms:created>
  <dcterms:modified xsi:type="dcterms:W3CDTF">2024-07-29T12:45:00Z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179D684BE65944F7A2547C52BDE5DB18</vt:lpwstr>
  </property>
</Properties>
</file>