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E6" w:rsidRDefault="00C17E18">
      <w:pPr>
        <w:pStyle w:val="3"/>
        <w:numPr>
          <w:ilvl w:val="0"/>
          <w:numId w:val="1"/>
        </w:numPr>
      </w:pPr>
      <w:bookmarkStart w:id="0" w:name="_Toc163493640"/>
      <w:r>
        <w:rPr>
          <w:rFonts w:hint="eastAsia"/>
        </w:rPr>
        <w:t>评分标准</w:t>
      </w:r>
      <w:bookmarkEnd w:id="0"/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820"/>
        <w:gridCol w:w="418"/>
        <w:gridCol w:w="6247"/>
      </w:tblGrid>
      <w:tr w:rsidR="00263CE6">
        <w:trPr>
          <w:trHeight w:val="483"/>
          <w:tblHeader/>
          <w:jc w:val="center"/>
        </w:trPr>
        <w:tc>
          <w:tcPr>
            <w:tcW w:w="721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kern w:val="1"/>
                <w:szCs w:val="24"/>
              </w:rPr>
            </w:pPr>
            <w:r>
              <w:rPr>
                <w:rFonts w:cs="宋体" w:hint="eastAsia"/>
                <w:kern w:val="1"/>
                <w:szCs w:val="24"/>
              </w:rPr>
              <w:t>评审项目</w:t>
            </w:r>
          </w:p>
        </w:tc>
        <w:tc>
          <w:tcPr>
            <w:tcW w:w="468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kern w:val="1"/>
                <w:szCs w:val="24"/>
              </w:rPr>
            </w:pPr>
            <w:r>
              <w:rPr>
                <w:rFonts w:cs="宋体" w:hint="eastAsia"/>
                <w:kern w:val="1"/>
                <w:szCs w:val="24"/>
              </w:rPr>
              <w:t>评审分项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kern w:val="1"/>
                <w:szCs w:val="24"/>
              </w:rPr>
            </w:pPr>
            <w:r>
              <w:rPr>
                <w:rFonts w:cs="宋体" w:hint="eastAsia"/>
                <w:kern w:val="1"/>
                <w:szCs w:val="24"/>
              </w:rPr>
              <w:t>分值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kern w:val="1"/>
                <w:szCs w:val="24"/>
              </w:rPr>
            </w:pPr>
            <w:r>
              <w:rPr>
                <w:rFonts w:cs="宋体" w:hint="eastAsia"/>
                <w:kern w:val="1"/>
                <w:szCs w:val="24"/>
              </w:rPr>
              <w:t>评审标准及分值</w:t>
            </w:r>
          </w:p>
        </w:tc>
      </w:tr>
      <w:tr w:rsidR="00263CE6">
        <w:trPr>
          <w:trHeight w:val="1346"/>
          <w:jc w:val="center"/>
        </w:trPr>
        <w:tc>
          <w:tcPr>
            <w:tcW w:w="721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kern w:val="1"/>
                <w:szCs w:val="24"/>
              </w:rPr>
            </w:pPr>
            <w:r>
              <w:rPr>
                <w:rFonts w:cs="宋体" w:hint="eastAsia"/>
                <w:kern w:val="1"/>
                <w:szCs w:val="24"/>
              </w:rPr>
              <w:t>报价</w:t>
            </w:r>
            <w:r>
              <w:rPr>
                <w:rFonts w:cs="宋体" w:hint="eastAsia"/>
                <w:kern w:val="1"/>
                <w:szCs w:val="24"/>
              </w:rPr>
              <w:t>部分</w:t>
            </w:r>
          </w:p>
          <w:p w:rsidR="00263CE6" w:rsidRDefault="00C17E18">
            <w:pPr>
              <w:spacing w:line="400" w:lineRule="exact"/>
              <w:jc w:val="center"/>
              <w:rPr>
                <w:rFonts w:cs="宋体"/>
                <w:kern w:val="1"/>
                <w:szCs w:val="24"/>
              </w:rPr>
            </w:pPr>
            <w:r>
              <w:rPr>
                <w:rFonts w:cs="宋体" w:hint="eastAsia"/>
                <w:kern w:val="1"/>
                <w:szCs w:val="24"/>
              </w:rPr>
              <w:t>（</w:t>
            </w:r>
            <w:r>
              <w:rPr>
                <w:rFonts w:cs="宋体" w:hint="eastAsia"/>
                <w:kern w:val="1"/>
                <w:szCs w:val="24"/>
              </w:rPr>
              <w:t>10</w:t>
            </w:r>
            <w:r>
              <w:rPr>
                <w:rFonts w:cs="宋体" w:hint="eastAsia"/>
                <w:kern w:val="1"/>
                <w:szCs w:val="24"/>
              </w:rPr>
              <w:t>分）</w:t>
            </w:r>
          </w:p>
        </w:tc>
        <w:tc>
          <w:tcPr>
            <w:tcW w:w="468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kern w:val="1"/>
                <w:szCs w:val="24"/>
              </w:rPr>
            </w:pPr>
            <w:r>
              <w:rPr>
                <w:rFonts w:cs="宋体" w:hint="eastAsia"/>
                <w:kern w:val="1"/>
                <w:szCs w:val="24"/>
              </w:rPr>
              <w:t>报价</w:t>
            </w:r>
            <w:r>
              <w:rPr>
                <w:rFonts w:cs="宋体" w:hint="eastAsia"/>
                <w:kern w:val="1"/>
                <w:szCs w:val="24"/>
              </w:rPr>
              <w:t>得</w:t>
            </w:r>
            <w:r>
              <w:rPr>
                <w:rFonts w:cs="宋体" w:hint="eastAsia"/>
                <w:kern w:val="1"/>
                <w:szCs w:val="24"/>
              </w:rPr>
              <w:t>分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kern w:val="1"/>
                <w:szCs w:val="24"/>
              </w:rPr>
            </w:pPr>
            <w:r>
              <w:rPr>
                <w:rFonts w:cs="宋体" w:hint="eastAsia"/>
                <w:kern w:val="1"/>
                <w:szCs w:val="24"/>
              </w:rPr>
              <w:t>10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、确定基准价。满足</w:t>
            </w:r>
            <w:r>
              <w:rPr>
                <w:rFonts w:cs="宋体" w:hint="eastAsia"/>
                <w:szCs w:val="24"/>
              </w:rPr>
              <w:t>磋商</w:t>
            </w:r>
            <w:r>
              <w:rPr>
                <w:rFonts w:cs="宋体" w:hint="eastAsia"/>
                <w:szCs w:val="24"/>
              </w:rPr>
              <w:t>文件要求且</w:t>
            </w:r>
            <w:r>
              <w:rPr>
                <w:rFonts w:cs="宋体" w:hint="eastAsia"/>
                <w:szCs w:val="24"/>
              </w:rPr>
              <w:t>竞标</w:t>
            </w:r>
            <w:r>
              <w:rPr>
                <w:rFonts w:cs="宋体" w:hint="eastAsia"/>
                <w:szCs w:val="24"/>
              </w:rPr>
              <w:t>价格最低的报价为基准价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 w:hint="eastAsia"/>
                <w:szCs w:val="24"/>
              </w:rPr>
              <w:t>其得分为</w:t>
            </w:r>
            <w:r>
              <w:rPr>
                <w:rFonts w:cs="宋体" w:hint="eastAsia"/>
                <w:szCs w:val="24"/>
              </w:rPr>
              <w:t>10</w:t>
            </w:r>
            <w:r>
              <w:rPr>
                <w:rFonts w:cs="宋体" w:hint="eastAsia"/>
                <w:szCs w:val="24"/>
              </w:rPr>
              <w:t>分。</w:t>
            </w:r>
          </w:p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2</w:t>
            </w:r>
            <w:r>
              <w:rPr>
                <w:rFonts w:cs="宋体" w:hint="eastAsia"/>
                <w:szCs w:val="24"/>
              </w:rPr>
              <w:t>、报价得分</w:t>
            </w:r>
            <w:r>
              <w:rPr>
                <w:rFonts w:cs="宋体" w:hint="eastAsia"/>
                <w:szCs w:val="24"/>
              </w:rPr>
              <w:t>=(</w:t>
            </w:r>
            <w:r>
              <w:rPr>
                <w:rFonts w:cs="宋体" w:hint="eastAsia"/>
                <w:szCs w:val="24"/>
              </w:rPr>
              <w:t>评标基准价／报价</w:t>
            </w:r>
            <w:r>
              <w:rPr>
                <w:rFonts w:cs="宋体" w:hint="eastAsia"/>
                <w:szCs w:val="24"/>
              </w:rPr>
              <w:t>)</w:t>
            </w:r>
            <w:r>
              <w:rPr>
                <w:rFonts w:cs="宋体" w:hint="eastAsia"/>
                <w:szCs w:val="24"/>
              </w:rPr>
              <w:t>×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0</w:t>
            </w:r>
            <w:r>
              <w:rPr>
                <w:rFonts w:cs="宋体" w:hint="eastAsia"/>
                <w:szCs w:val="24"/>
              </w:rPr>
              <w:t>。</w:t>
            </w:r>
          </w:p>
        </w:tc>
      </w:tr>
      <w:tr w:rsidR="00263CE6">
        <w:trPr>
          <w:trHeight w:val="3902"/>
          <w:jc w:val="center"/>
        </w:trPr>
        <w:tc>
          <w:tcPr>
            <w:tcW w:w="721" w:type="pct"/>
            <w:vMerge w:val="restart"/>
            <w:vAlign w:val="center"/>
          </w:tcPr>
          <w:p w:rsidR="00263CE6" w:rsidRDefault="00C17E18">
            <w:pPr>
              <w:snapToGrid w:val="0"/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napToGrid w:val="0"/>
                <w:szCs w:val="24"/>
              </w:rPr>
              <w:t>商务部分（</w:t>
            </w:r>
            <w:r>
              <w:rPr>
                <w:rFonts w:cs="宋体" w:hint="eastAsia"/>
                <w:snapToGrid w:val="0"/>
                <w:szCs w:val="24"/>
              </w:rPr>
              <w:t>25</w:t>
            </w:r>
            <w:r>
              <w:rPr>
                <w:rFonts w:cs="宋体" w:hint="eastAsia"/>
                <w:snapToGrid w:val="0"/>
                <w:szCs w:val="24"/>
              </w:rPr>
              <w:t>分）</w:t>
            </w:r>
          </w:p>
        </w:tc>
        <w:tc>
          <w:tcPr>
            <w:tcW w:w="468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社会评价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5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、</w:t>
            </w:r>
            <w:r>
              <w:rPr>
                <w:rFonts w:cs="宋体" w:hint="eastAsia"/>
                <w:szCs w:val="24"/>
              </w:rPr>
              <w:t>除了营业执照，</w:t>
            </w:r>
            <w:r>
              <w:rPr>
                <w:rFonts w:cs="宋体" w:hint="eastAsia"/>
                <w:szCs w:val="24"/>
              </w:rPr>
              <w:t>供应商提供</w:t>
            </w:r>
            <w:r>
              <w:rPr>
                <w:rFonts w:cs="宋体" w:hint="eastAsia"/>
                <w:szCs w:val="24"/>
              </w:rPr>
              <w:t>相关</w:t>
            </w:r>
            <w:r>
              <w:rPr>
                <w:rFonts w:cs="宋体" w:hint="eastAsia"/>
                <w:szCs w:val="24"/>
              </w:rPr>
              <w:t>体现</w:t>
            </w:r>
            <w:r>
              <w:rPr>
                <w:rFonts w:cs="宋体" w:hint="eastAsia"/>
                <w:szCs w:val="24"/>
              </w:rPr>
              <w:t>实力</w:t>
            </w:r>
            <w:r>
              <w:rPr>
                <w:rFonts w:cs="宋体" w:hint="eastAsia"/>
                <w:szCs w:val="24"/>
              </w:rPr>
              <w:t>的资质</w:t>
            </w:r>
            <w:r>
              <w:rPr>
                <w:rFonts w:cs="宋体" w:hint="eastAsia"/>
                <w:szCs w:val="24"/>
              </w:rPr>
              <w:t>或证书，</w:t>
            </w:r>
            <w:r>
              <w:rPr>
                <w:rFonts w:cs="宋体" w:hint="eastAsia"/>
                <w:szCs w:val="24"/>
              </w:rPr>
              <w:t>资质</w:t>
            </w:r>
            <w:r>
              <w:rPr>
                <w:rFonts w:cs="宋体" w:hint="eastAsia"/>
                <w:szCs w:val="24"/>
              </w:rPr>
              <w:t>或证书</w:t>
            </w:r>
            <w:r>
              <w:rPr>
                <w:rFonts w:cs="宋体" w:hint="eastAsia"/>
                <w:szCs w:val="24"/>
              </w:rPr>
              <w:t>需要提供扫描件</w:t>
            </w:r>
            <w:r>
              <w:rPr>
                <w:rFonts w:cs="宋体" w:hint="eastAsia"/>
                <w:szCs w:val="24"/>
              </w:rPr>
              <w:t>。</w:t>
            </w:r>
            <w:r>
              <w:rPr>
                <w:rFonts w:cs="宋体" w:hint="eastAsia"/>
                <w:szCs w:val="24"/>
              </w:rPr>
              <w:t>获得国家有关部门或行业协会颁发的资质等级或奖项</w:t>
            </w:r>
            <w:r>
              <w:rPr>
                <w:rFonts w:cs="宋体" w:hint="eastAsia"/>
                <w:szCs w:val="24"/>
              </w:rPr>
              <w:t>，得</w:t>
            </w:r>
            <w:r>
              <w:rPr>
                <w:rFonts w:cs="宋体" w:hint="eastAsia"/>
                <w:szCs w:val="24"/>
              </w:rPr>
              <w:t>3</w:t>
            </w:r>
            <w:r>
              <w:rPr>
                <w:rFonts w:cs="宋体" w:hint="eastAsia"/>
                <w:szCs w:val="24"/>
              </w:rPr>
              <w:t>分；</w:t>
            </w:r>
            <w:r>
              <w:rPr>
                <w:rFonts w:cs="宋体" w:hint="eastAsia"/>
                <w:szCs w:val="24"/>
              </w:rPr>
              <w:t>获得</w:t>
            </w:r>
            <w:r>
              <w:rPr>
                <w:rFonts w:cs="宋体" w:hint="eastAsia"/>
                <w:szCs w:val="24"/>
              </w:rPr>
              <w:t>省级</w:t>
            </w:r>
            <w:r>
              <w:rPr>
                <w:rFonts w:cs="宋体" w:hint="eastAsia"/>
                <w:szCs w:val="24"/>
              </w:rPr>
              <w:t>有关部门或行业协会颁发的资质等级或奖项</w:t>
            </w:r>
            <w:r>
              <w:rPr>
                <w:rFonts w:cs="宋体" w:hint="eastAsia"/>
                <w:szCs w:val="24"/>
              </w:rPr>
              <w:t>，得</w:t>
            </w:r>
            <w:r>
              <w:rPr>
                <w:rFonts w:cs="宋体" w:hint="eastAsia"/>
                <w:szCs w:val="24"/>
              </w:rPr>
              <w:t>2</w:t>
            </w:r>
            <w:r>
              <w:rPr>
                <w:rFonts w:cs="宋体" w:hint="eastAsia"/>
                <w:szCs w:val="24"/>
              </w:rPr>
              <w:t>分；</w:t>
            </w:r>
            <w:r>
              <w:rPr>
                <w:rFonts w:cs="宋体" w:hint="eastAsia"/>
                <w:szCs w:val="24"/>
              </w:rPr>
              <w:t>获得</w:t>
            </w:r>
            <w:r>
              <w:rPr>
                <w:rFonts w:cs="宋体" w:hint="eastAsia"/>
                <w:szCs w:val="24"/>
              </w:rPr>
              <w:t>市级、区级</w:t>
            </w:r>
            <w:r>
              <w:rPr>
                <w:rFonts w:cs="宋体" w:hint="eastAsia"/>
                <w:szCs w:val="24"/>
              </w:rPr>
              <w:t>有关部门或行业协会颁发的资质等级或奖项</w:t>
            </w:r>
            <w:r>
              <w:rPr>
                <w:rFonts w:cs="宋体" w:hint="eastAsia"/>
                <w:szCs w:val="24"/>
              </w:rPr>
              <w:t>，得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分；不提供不得分。</w:t>
            </w:r>
          </w:p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2</w:t>
            </w:r>
            <w:r>
              <w:rPr>
                <w:rFonts w:cs="宋体" w:hint="eastAsia"/>
                <w:szCs w:val="24"/>
              </w:rPr>
              <w:t>、</w:t>
            </w:r>
            <w:r>
              <w:rPr>
                <w:rFonts w:cs="宋体" w:hint="eastAsia"/>
                <w:szCs w:val="24"/>
              </w:rPr>
              <w:t>供应商</w:t>
            </w:r>
            <w:r>
              <w:rPr>
                <w:rFonts w:cs="宋体" w:hint="eastAsia"/>
                <w:szCs w:val="24"/>
              </w:rPr>
              <w:t>须提供</w:t>
            </w:r>
            <w:r>
              <w:rPr>
                <w:rFonts w:cs="宋体" w:hint="eastAsia"/>
                <w:szCs w:val="24"/>
              </w:rPr>
              <w:t>20</w:t>
            </w:r>
            <w:r>
              <w:rPr>
                <w:rFonts w:cs="宋体" w:hint="eastAsia"/>
                <w:szCs w:val="24"/>
              </w:rPr>
              <w:t>20</w:t>
            </w:r>
            <w:r>
              <w:rPr>
                <w:rFonts w:cs="宋体" w:hint="eastAsia"/>
                <w:szCs w:val="24"/>
              </w:rPr>
              <w:t>年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月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日至今的用户服务评价得</w:t>
            </w:r>
            <w:r>
              <w:rPr>
                <w:rFonts w:cs="宋体" w:hint="eastAsia"/>
                <w:szCs w:val="24"/>
              </w:rPr>
              <w:t xml:space="preserve"> 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 xml:space="preserve"> </w:t>
            </w:r>
            <w:r>
              <w:rPr>
                <w:rFonts w:cs="宋体" w:hint="eastAsia"/>
                <w:szCs w:val="24"/>
              </w:rPr>
              <w:t>分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 w:hint="eastAsia"/>
                <w:szCs w:val="24"/>
              </w:rPr>
              <w:t>此项最高</w:t>
            </w:r>
            <w:r>
              <w:rPr>
                <w:rFonts w:cs="宋体" w:hint="eastAsia"/>
                <w:szCs w:val="24"/>
              </w:rPr>
              <w:t>2</w:t>
            </w:r>
            <w:r>
              <w:rPr>
                <w:rFonts w:cs="宋体" w:hint="eastAsia"/>
                <w:szCs w:val="24"/>
              </w:rPr>
              <w:t>分。</w:t>
            </w:r>
            <w:r>
              <w:rPr>
                <w:rFonts w:cs="宋体" w:hint="eastAsia"/>
                <w:szCs w:val="24"/>
              </w:rPr>
              <w:t>（</w:t>
            </w:r>
            <w:r>
              <w:rPr>
                <w:rFonts w:cs="宋体" w:hint="eastAsia"/>
                <w:szCs w:val="24"/>
              </w:rPr>
              <w:t>评价为优或满意的并加盖业主公章的，同业主单位的服务评价视为一份）</w:t>
            </w:r>
          </w:p>
        </w:tc>
      </w:tr>
      <w:tr w:rsidR="00263CE6">
        <w:trPr>
          <w:trHeight w:val="1904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snapToGrid w:val="0"/>
              <w:spacing w:line="400" w:lineRule="exact"/>
              <w:jc w:val="center"/>
              <w:rPr>
                <w:rFonts w:cs="宋体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综合实力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5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供应商拟派本项目医师人员具有副高及以上职称的，每提供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人得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分，满分</w:t>
            </w:r>
            <w:r>
              <w:rPr>
                <w:rFonts w:cs="宋体" w:hint="eastAsia"/>
                <w:szCs w:val="24"/>
              </w:rPr>
              <w:t>5</w:t>
            </w:r>
            <w:r>
              <w:rPr>
                <w:rFonts w:cs="宋体" w:hint="eastAsia"/>
                <w:szCs w:val="24"/>
              </w:rPr>
              <w:t>分。</w:t>
            </w:r>
            <w:r>
              <w:rPr>
                <w:rFonts w:cs="宋体" w:hint="eastAsia"/>
                <w:szCs w:val="24"/>
              </w:rPr>
              <w:t>（</w:t>
            </w:r>
            <w:r>
              <w:rPr>
                <w:rFonts w:cs="宋体" w:hint="eastAsia"/>
                <w:szCs w:val="24"/>
              </w:rPr>
              <w:t>提供资格证、执业证、职称证等证明材料，执业证书注册单位的名称须与</w:t>
            </w:r>
            <w:r>
              <w:rPr>
                <w:rFonts w:cs="宋体" w:hint="eastAsia"/>
                <w:szCs w:val="24"/>
              </w:rPr>
              <w:t>供应商</w:t>
            </w:r>
            <w:r>
              <w:rPr>
                <w:rFonts w:cs="宋体" w:hint="eastAsia"/>
                <w:szCs w:val="24"/>
              </w:rPr>
              <w:t>的名称一致，否则不得分）</w:t>
            </w:r>
          </w:p>
        </w:tc>
      </w:tr>
      <w:tr w:rsidR="00263CE6">
        <w:trPr>
          <w:trHeight w:val="1792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snapToGrid w:val="0"/>
              <w:spacing w:line="400" w:lineRule="exact"/>
              <w:jc w:val="center"/>
              <w:rPr>
                <w:rFonts w:cs="宋体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263CE6" w:rsidRDefault="00263CE6">
            <w:pPr>
              <w:spacing w:line="400" w:lineRule="exact"/>
              <w:jc w:val="center"/>
              <w:rPr>
                <w:rFonts w:cs="宋体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  <w:rPr>
                <w:kern w:val="0"/>
                <w:lang w:val="en-US" w:bidi="ar-SA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供应商</w:t>
            </w:r>
            <w:r>
              <w:rPr>
                <w:rFonts w:cs="宋体" w:hint="eastAsia"/>
                <w:szCs w:val="24"/>
              </w:rPr>
              <w:t>体检中心整体环境</w:t>
            </w:r>
            <w:r>
              <w:rPr>
                <w:rFonts w:cs="宋体" w:hint="eastAsia"/>
                <w:szCs w:val="24"/>
              </w:rPr>
              <w:t>。</w:t>
            </w:r>
            <w:r>
              <w:rPr>
                <w:rFonts w:cs="宋体" w:hint="eastAsia"/>
                <w:szCs w:val="24"/>
              </w:rPr>
              <w:t>整体环境宽敞、舒适、整洁、优美得</w:t>
            </w:r>
            <w:r>
              <w:rPr>
                <w:rFonts w:cs="宋体" w:hint="eastAsia"/>
                <w:szCs w:val="24"/>
              </w:rPr>
              <w:t>5</w:t>
            </w:r>
            <w:r>
              <w:rPr>
                <w:rFonts w:cs="宋体" w:hint="eastAsia"/>
                <w:szCs w:val="24"/>
              </w:rPr>
              <w:t>分</w:t>
            </w:r>
            <w:r>
              <w:rPr>
                <w:rFonts w:cs="宋体" w:hint="eastAsia"/>
                <w:szCs w:val="24"/>
              </w:rPr>
              <w:t>；</w:t>
            </w:r>
            <w:r>
              <w:rPr>
                <w:rFonts w:cs="宋体" w:hint="eastAsia"/>
                <w:szCs w:val="24"/>
              </w:rPr>
              <w:t>整体环境一般得</w:t>
            </w:r>
            <w:r>
              <w:rPr>
                <w:rFonts w:cs="宋体" w:hint="eastAsia"/>
                <w:szCs w:val="24"/>
              </w:rPr>
              <w:t>3</w:t>
            </w:r>
            <w:r>
              <w:rPr>
                <w:rFonts w:cs="宋体" w:hint="eastAsia"/>
                <w:szCs w:val="24"/>
              </w:rPr>
              <w:t>分</w:t>
            </w:r>
            <w:r>
              <w:rPr>
                <w:rFonts w:cs="宋体" w:hint="eastAsia"/>
                <w:szCs w:val="24"/>
              </w:rPr>
              <w:t>；</w:t>
            </w:r>
            <w:r>
              <w:rPr>
                <w:rFonts w:cs="宋体" w:hint="eastAsia"/>
                <w:szCs w:val="24"/>
              </w:rPr>
              <w:t>整体环境比较恶劣得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分。</w:t>
            </w:r>
            <w:r>
              <w:rPr>
                <w:rFonts w:cs="宋体" w:hint="eastAsia"/>
                <w:szCs w:val="24"/>
              </w:rPr>
              <w:t>（</w:t>
            </w:r>
            <w:r>
              <w:rPr>
                <w:rFonts w:cs="宋体" w:hint="eastAsia"/>
                <w:szCs w:val="24"/>
              </w:rPr>
              <w:t>提供体检中心整体环境照片作为证明文件</w:t>
            </w:r>
            <w:r>
              <w:rPr>
                <w:rFonts w:cs="宋体" w:hint="eastAsia"/>
                <w:szCs w:val="24"/>
              </w:rPr>
              <w:t>）</w:t>
            </w:r>
          </w:p>
        </w:tc>
      </w:tr>
      <w:tr w:rsidR="00263CE6">
        <w:trPr>
          <w:trHeight w:val="2122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snapToGrid w:val="0"/>
              <w:spacing w:line="400" w:lineRule="exact"/>
              <w:jc w:val="center"/>
              <w:rPr>
                <w:rFonts w:cs="宋体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类似</w:t>
            </w:r>
            <w:r>
              <w:rPr>
                <w:rFonts w:cs="宋体" w:hint="eastAsia"/>
                <w:szCs w:val="24"/>
              </w:rPr>
              <w:t>业绩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napToGrid w:val="0"/>
                <w:szCs w:val="24"/>
              </w:rPr>
            </w:pPr>
            <w:r>
              <w:rPr>
                <w:rFonts w:cs="宋体" w:hint="eastAsia"/>
                <w:szCs w:val="24"/>
              </w:rPr>
              <w:t>10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2020</w:t>
            </w:r>
            <w:r>
              <w:rPr>
                <w:rFonts w:cs="宋体" w:hint="eastAsia"/>
                <w:szCs w:val="24"/>
              </w:rPr>
              <w:t>年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月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日</w:t>
            </w:r>
            <w:r>
              <w:rPr>
                <w:rFonts w:cs="宋体" w:hint="eastAsia"/>
                <w:szCs w:val="24"/>
              </w:rPr>
              <w:t>至今，</w:t>
            </w:r>
            <w:r>
              <w:rPr>
                <w:rFonts w:cs="宋体" w:hint="eastAsia"/>
                <w:szCs w:val="24"/>
              </w:rPr>
              <w:t>供应商</w:t>
            </w:r>
            <w:r>
              <w:rPr>
                <w:rFonts w:cs="宋体" w:hint="eastAsia"/>
                <w:szCs w:val="24"/>
              </w:rPr>
              <w:t>完成过类似体检服务项目的，每提供一份得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分，满分</w:t>
            </w:r>
            <w:r>
              <w:rPr>
                <w:rFonts w:cs="宋体" w:hint="eastAsia"/>
                <w:szCs w:val="24"/>
              </w:rPr>
              <w:t>10</w:t>
            </w:r>
            <w:r>
              <w:rPr>
                <w:rFonts w:cs="宋体" w:hint="eastAsia"/>
                <w:szCs w:val="24"/>
              </w:rPr>
              <w:t>分。</w:t>
            </w:r>
            <w:r>
              <w:rPr>
                <w:rFonts w:cs="宋体" w:hint="eastAsia"/>
                <w:szCs w:val="24"/>
              </w:rPr>
              <w:t>（</w:t>
            </w:r>
            <w:r>
              <w:rPr>
                <w:rFonts w:cs="宋体" w:hint="eastAsia"/>
                <w:szCs w:val="24"/>
              </w:rPr>
              <w:t>需提供合同</w:t>
            </w:r>
            <w:r>
              <w:rPr>
                <w:rFonts w:cs="宋体" w:hint="eastAsia"/>
                <w:szCs w:val="24"/>
              </w:rPr>
              <w:t>或者中标通知书，以签订合同时间为准</w:t>
            </w:r>
            <w:r>
              <w:rPr>
                <w:rFonts w:cs="宋体" w:hint="eastAsia"/>
                <w:szCs w:val="24"/>
              </w:rPr>
              <w:t>）</w:t>
            </w:r>
          </w:p>
        </w:tc>
      </w:tr>
      <w:tr w:rsidR="00263CE6">
        <w:trPr>
          <w:trHeight w:val="1792"/>
          <w:jc w:val="center"/>
        </w:trPr>
        <w:tc>
          <w:tcPr>
            <w:tcW w:w="721" w:type="pct"/>
            <w:vMerge w:val="restart"/>
            <w:vAlign w:val="center"/>
          </w:tcPr>
          <w:p w:rsidR="00263CE6" w:rsidRDefault="00C17E18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cs="宋体"/>
                <w:kern w:val="1"/>
                <w:szCs w:val="24"/>
              </w:rPr>
            </w:pPr>
            <w:r>
              <w:rPr>
                <w:rFonts w:cs="宋体" w:hint="eastAsia"/>
                <w:snapToGrid w:val="0"/>
                <w:szCs w:val="24"/>
              </w:rPr>
              <w:lastRenderedPageBreak/>
              <w:t>技术部分（</w:t>
            </w:r>
            <w:r>
              <w:rPr>
                <w:rFonts w:cs="宋体" w:hint="eastAsia"/>
                <w:snapToGrid w:val="0"/>
                <w:szCs w:val="24"/>
              </w:rPr>
              <w:t>6</w:t>
            </w:r>
            <w:r>
              <w:rPr>
                <w:rFonts w:cs="宋体" w:hint="eastAsia"/>
                <w:snapToGrid w:val="0"/>
                <w:szCs w:val="24"/>
              </w:rPr>
              <w:t>5</w:t>
            </w:r>
            <w:r>
              <w:rPr>
                <w:rFonts w:cs="宋体" w:hint="eastAsia"/>
                <w:snapToGrid w:val="0"/>
                <w:szCs w:val="24"/>
              </w:rPr>
              <w:t>分）</w:t>
            </w:r>
          </w:p>
        </w:tc>
        <w:tc>
          <w:tcPr>
            <w:tcW w:w="468" w:type="pct"/>
            <w:vAlign w:val="center"/>
          </w:tcPr>
          <w:p w:rsidR="00263CE6" w:rsidRDefault="00C17E18" w:rsidP="00422F4F">
            <w:pPr>
              <w:snapToGrid w:val="0"/>
              <w:spacing w:line="240" w:lineRule="auto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对采购人需求的响应程度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10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服务要求中带</w:t>
            </w:r>
            <w:r>
              <w:rPr>
                <w:rFonts w:cs="宋体" w:hint="eastAsia"/>
                <w:bCs/>
                <w:szCs w:val="24"/>
              </w:rPr>
              <w:t>▲</w:t>
            </w:r>
            <w:r>
              <w:rPr>
                <w:rFonts w:cs="宋体" w:hint="eastAsia"/>
                <w:bCs/>
                <w:szCs w:val="24"/>
              </w:rPr>
              <w:t>的</w:t>
            </w:r>
            <w:r>
              <w:rPr>
                <w:rFonts w:cs="宋体" w:hint="eastAsia"/>
                <w:szCs w:val="24"/>
              </w:rPr>
              <w:t>重要</w:t>
            </w:r>
            <w:r>
              <w:rPr>
                <w:rFonts w:cs="宋体" w:hint="eastAsia"/>
                <w:bCs/>
                <w:szCs w:val="24"/>
              </w:rPr>
              <w:t>服务参数，</w:t>
            </w:r>
            <w:r>
              <w:rPr>
                <w:rFonts w:cs="宋体" w:hint="eastAsia"/>
                <w:szCs w:val="24"/>
              </w:rPr>
              <w:t>供应商</w:t>
            </w:r>
            <w:r>
              <w:rPr>
                <w:rFonts w:cs="宋体" w:hint="eastAsia"/>
                <w:szCs w:val="24"/>
              </w:rPr>
              <w:t>优于</w:t>
            </w:r>
            <w:r>
              <w:rPr>
                <w:rFonts w:cs="宋体" w:hint="eastAsia"/>
                <w:szCs w:val="24"/>
              </w:rPr>
              <w:t>采购人</w:t>
            </w:r>
            <w:r>
              <w:rPr>
                <w:rFonts w:cs="宋体" w:hint="eastAsia"/>
                <w:szCs w:val="24"/>
              </w:rPr>
              <w:t>需求的得</w:t>
            </w:r>
            <w:r>
              <w:rPr>
                <w:rFonts w:cs="宋体" w:hint="eastAsia"/>
                <w:szCs w:val="24"/>
              </w:rPr>
              <w:t>10</w:t>
            </w:r>
            <w:r>
              <w:rPr>
                <w:rFonts w:cs="宋体" w:hint="eastAsia"/>
                <w:szCs w:val="24"/>
              </w:rPr>
              <w:t>分</w:t>
            </w:r>
            <w:r>
              <w:rPr>
                <w:rFonts w:cs="宋体" w:hint="eastAsia"/>
                <w:szCs w:val="24"/>
              </w:rPr>
              <w:t>；供应商</w:t>
            </w:r>
            <w:r>
              <w:rPr>
                <w:rFonts w:cs="宋体" w:hint="eastAsia"/>
                <w:szCs w:val="24"/>
              </w:rPr>
              <w:t>满足</w:t>
            </w:r>
            <w:r>
              <w:rPr>
                <w:rFonts w:cs="宋体" w:hint="eastAsia"/>
                <w:szCs w:val="24"/>
              </w:rPr>
              <w:t>采购人</w:t>
            </w:r>
            <w:r>
              <w:rPr>
                <w:rFonts w:cs="宋体" w:hint="eastAsia"/>
                <w:szCs w:val="24"/>
              </w:rPr>
              <w:t>需求的得</w:t>
            </w:r>
            <w:r>
              <w:rPr>
                <w:rFonts w:cs="宋体" w:hint="eastAsia"/>
                <w:szCs w:val="24"/>
              </w:rPr>
              <w:t>8</w:t>
            </w:r>
            <w:r>
              <w:rPr>
                <w:rFonts w:cs="宋体" w:hint="eastAsia"/>
                <w:szCs w:val="24"/>
              </w:rPr>
              <w:t>分；</w:t>
            </w:r>
            <w:r>
              <w:rPr>
                <w:rFonts w:cs="宋体" w:hint="eastAsia"/>
                <w:szCs w:val="24"/>
              </w:rPr>
              <w:t>有不响应用户需求的，每一条带</w:t>
            </w:r>
            <w:r>
              <w:rPr>
                <w:rFonts w:cs="宋体" w:hint="eastAsia"/>
                <w:bCs/>
                <w:szCs w:val="24"/>
              </w:rPr>
              <w:t>▲</w:t>
            </w:r>
            <w:r>
              <w:rPr>
                <w:rFonts w:cs="宋体" w:hint="eastAsia"/>
                <w:szCs w:val="24"/>
              </w:rPr>
              <w:t>的重要服务参数不响应扣</w:t>
            </w:r>
            <w:r>
              <w:rPr>
                <w:rFonts w:cs="宋体" w:hint="eastAsia"/>
                <w:szCs w:val="24"/>
              </w:rPr>
              <w:t>2</w:t>
            </w:r>
            <w:r>
              <w:rPr>
                <w:rFonts w:cs="宋体" w:hint="eastAsia"/>
                <w:szCs w:val="24"/>
              </w:rPr>
              <w:t>分，扣完为止。每一条不带</w:t>
            </w:r>
            <w:r>
              <w:rPr>
                <w:rFonts w:cs="宋体" w:hint="eastAsia"/>
                <w:bCs/>
                <w:szCs w:val="24"/>
              </w:rPr>
              <w:t>▲</w:t>
            </w:r>
            <w:r>
              <w:rPr>
                <w:rFonts w:cs="宋体" w:hint="eastAsia"/>
                <w:szCs w:val="24"/>
              </w:rPr>
              <w:t>的一般服务参数不响应的扣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分，扣完为止。</w:t>
            </w:r>
          </w:p>
        </w:tc>
      </w:tr>
      <w:tr w:rsidR="00263CE6">
        <w:trPr>
          <w:trHeight w:val="2996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cs="宋体"/>
                <w:snapToGrid w:val="0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人员安排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5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供应商</w:t>
            </w:r>
            <w:r>
              <w:rPr>
                <w:rFonts w:cs="宋体" w:hint="eastAsia"/>
                <w:szCs w:val="24"/>
              </w:rPr>
              <w:t>针对本次体检项目</w:t>
            </w:r>
            <w:r>
              <w:rPr>
                <w:rFonts w:cs="宋体" w:hint="eastAsia"/>
                <w:szCs w:val="24"/>
              </w:rPr>
              <w:t>拟派于本项目的医护人员</w:t>
            </w:r>
            <w:r>
              <w:rPr>
                <w:rFonts w:cs="宋体" w:hint="eastAsia"/>
                <w:szCs w:val="24"/>
              </w:rPr>
              <w:t>情况进行评审</w:t>
            </w:r>
            <w:r>
              <w:rPr>
                <w:rFonts w:cs="宋体" w:hint="eastAsia"/>
                <w:szCs w:val="24"/>
              </w:rPr>
              <w:t>。</w:t>
            </w:r>
            <w:r>
              <w:rPr>
                <w:rFonts w:cs="宋体" w:hint="eastAsia"/>
                <w:szCs w:val="24"/>
              </w:rPr>
              <w:t>人员</w:t>
            </w:r>
            <w:r>
              <w:rPr>
                <w:rFonts w:cs="宋体" w:hint="eastAsia"/>
                <w:szCs w:val="24"/>
              </w:rPr>
              <w:t>配备齐全、专业水准完全满足</w:t>
            </w:r>
            <w:r>
              <w:rPr>
                <w:rFonts w:cs="宋体" w:hint="eastAsia"/>
                <w:szCs w:val="24"/>
              </w:rPr>
              <w:t>各项体检</w:t>
            </w:r>
            <w:r>
              <w:rPr>
                <w:rFonts w:cs="宋体" w:hint="eastAsia"/>
                <w:szCs w:val="24"/>
              </w:rPr>
              <w:t>服务要求的，得</w:t>
            </w:r>
            <w:r>
              <w:rPr>
                <w:rFonts w:cs="宋体" w:hint="eastAsia"/>
                <w:szCs w:val="24"/>
              </w:rPr>
              <w:t>5</w:t>
            </w:r>
            <w:r>
              <w:rPr>
                <w:rFonts w:cs="宋体" w:hint="eastAsia"/>
                <w:szCs w:val="24"/>
              </w:rPr>
              <w:t>分；人员配备齐全、专业水准基本满足</w:t>
            </w:r>
            <w:r>
              <w:rPr>
                <w:rFonts w:cs="宋体" w:hint="eastAsia"/>
                <w:szCs w:val="24"/>
              </w:rPr>
              <w:t>各项体检</w:t>
            </w:r>
            <w:r>
              <w:rPr>
                <w:rFonts w:cs="宋体" w:hint="eastAsia"/>
                <w:szCs w:val="24"/>
              </w:rPr>
              <w:t>服务要求的，得</w:t>
            </w:r>
            <w:r>
              <w:rPr>
                <w:rFonts w:cs="宋体" w:hint="eastAsia"/>
                <w:szCs w:val="24"/>
              </w:rPr>
              <w:t>3</w:t>
            </w:r>
            <w:r>
              <w:rPr>
                <w:rFonts w:cs="宋体" w:hint="eastAsia"/>
                <w:szCs w:val="24"/>
              </w:rPr>
              <w:t>分；人员配备不齐全、专业水准难以满足</w:t>
            </w:r>
            <w:r>
              <w:rPr>
                <w:rFonts w:cs="宋体" w:hint="eastAsia"/>
                <w:szCs w:val="24"/>
              </w:rPr>
              <w:t>各项体检</w:t>
            </w:r>
            <w:r>
              <w:rPr>
                <w:rFonts w:cs="宋体" w:hint="eastAsia"/>
                <w:szCs w:val="24"/>
              </w:rPr>
              <w:t>服务要求的得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分，</w:t>
            </w:r>
            <w:r>
              <w:rPr>
                <w:rFonts w:cs="宋体" w:hint="eastAsia"/>
                <w:szCs w:val="24"/>
              </w:rPr>
              <w:t>不提供</w:t>
            </w:r>
            <w:r>
              <w:rPr>
                <w:rFonts w:cs="宋体" w:hint="eastAsia"/>
                <w:szCs w:val="24"/>
              </w:rPr>
              <w:t>不得分。（</w:t>
            </w:r>
            <w:r>
              <w:rPr>
                <w:rFonts w:cs="宋体" w:hint="eastAsia"/>
                <w:szCs w:val="24"/>
              </w:rPr>
              <w:t>根据各类体检项目针对</w:t>
            </w:r>
            <w:r>
              <w:rPr>
                <w:rFonts w:cs="宋体" w:hint="eastAsia"/>
                <w:szCs w:val="24"/>
              </w:rPr>
              <w:t>地</w:t>
            </w:r>
            <w:r>
              <w:rPr>
                <w:rFonts w:cs="宋体" w:hint="eastAsia"/>
                <w:szCs w:val="24"/>
              </w:rPr>
              <w:t>安排相应的医护人员，须</w:t>
            </w:r>
            <w:r>
              <w:rPr>
                <w:rFonts w:cs="宋体" w:hint="eastAsia"/>
                <w:szCs w:val="24"/>
              </w:rPr>
              <w:t>提供资格证、执业证、职称证等证明材料）</w:t>
            </w:r>
          </w:p>
        </w:tc>
      </w:tr>
      <w:tr w:rsidR="00263CE6">
        <w:trPr>
          <w:trHeight w:val="3262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snapToGrid w:val="0"/>
              <w:spacing w:line="400" w:lineRule="exact"/>
              <w:jc w:val="center"/>
              <w:rPr>
                <w:rFonts w:cs="宋体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263CE6" w:rsidRDefault="00C17E18" w:rsidP="00422F4F">
            <w:pPr>
              <w:pStyle w:val="TableParagraph"/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/>
              </w:rPr>
              <w:t>拟投入</w:t>
            </w:r>
            <w:bookmarkStart w:id="1" w:name="_GoBack"/>
            <w:bookmarkEnd w:id="1"/>
            <w:r>
              <w:rPr>
                <w:rFonts w:hint="eastAsia"/>
              </w:rPr>
              <w:t>本项目</w:t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</w:rPr>
              <w:t>情况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根据体检项目</w:t>
            </w:r>
            <w:r>
              <w:rPr>
                <w:rFonts w:cs="宋体" w:hint="eastAsia"/>
                <w:szCs w:val="24"/>
              </w:rPr>
              <w:t>需求，供应商应针对每一项体检项目投入</w:t>
            </w:r>
            <w:r>
              <w:rPr>
                <w:rFonts w:cs="宋体" w:hint="eastAsia"/>
                <w:szCs w:val="24"/>
              </w:rPr>
              <w:t>对应</w:t>
            </w:r>
            <w:r>
              <w:rPr>
                <w:rFonts w:cs="宋体" w:hint="eastAsia"/>
                <w:szCs w:val="24"/>
              </w:rPr>
              <w:t>设备仪器，</w:t>
            </w:r>
            <w:r>
              <w:rPr>
                <w:rFonts w:cs="宋体" w:hint="eastAsia"/>
                <w:szCs w:val="24"/>
              </w:rPr>
              <w:t>针对每一项体检项目</w:t>
            </w:r>
            <w:r>
              <w:rPr>
                <w:rFonts w:cs="宋体" w:hint="eastAsia"/>
                <w:szCs w:val="24"/>
              </w:rPr>
              <w:t>提供的设备</w:t>
            </w:r>
            <w:r>
              <w:rPr>
                <w:rFonts w:cs="宋体" w:hint="eastAsia"/>
                <w:szCs w:val="24"/>
              </w:rPr>
              <w:t>完全对应齐全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 w:hint="eastAsia"/>
                <w:szCs w:val="24"/>
              </w:rPr>
              <w:t>设备技术先进</w:t>
            </w:r>
            <w:r>
              <w:rPr>
                <w:rFonts w:cs="宋体" w:hint="eastAsia"/>
                <w:szCs w:val="24"/>
              </w:rPr>
              <w:t>且设备年限不长</w:t>
            </w:r>
            <w:r>
              <w:rPr>
                <w:rFonts w:cs="宋体" w:hint="eastAsia"/>
                <w:szCs w:val="24"/>
              </w:rPr>
              <w:t>，维护良好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 w:hint="eastAsia"/>
                <w:szCs w:val="24"/>
              </w:rPr>
              <w:t>得</w:t>
            </w:r>
            <w:r>
              <w:rPr>
                <w:rFonts w:cs="宋体" w:hint="eastAsia"/>
                <w:szCs w:val="24"/>
              </w:rPr>
              <w:t>7</w:t>
            </w:r>
            <w:r>
              <w:rPr>
                <w:rFonts w:cs="宋体" w:hint="eastAsia"/>
                <w:szCs w:val="24"/>
              </w:rPr>
              <w:t>分；提供的设备</w:t>
            </w:r>
            <w:r>
              <w:rPr>
                <w:rFonts w:cs="宋体" w:hint="eastAsia"/>
                <w:szCs w:val="24"/>
              </w:rPr>
              <w:t>存在略微缺少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 w:hint="eastAsia"/>
                <w:szCs w:val="24"/>
              </w:rPr>
              <w:t>提供的设备</w:t>
            </w:r>
            <w:r>
              <w:rPr>
                <w:rFonts w:cs="宋体" w:hint="eastAsia"/>
                <w:szCs w:val="24"/>
              </w:rPr>
              <w:t>有一定的年限</w:t>
            </w:r>
            <w:r>
              <w:rPr>
                <w:rFonts w:cs="宋体" w:hint="eastAsia"/>
                <w:szCs w:val="24"/>
              </w:rPr>
              <w:t>，技术</w:t>
            </w:r>
            <w:r>
              <w:rPr>
                <w:rFonts w:cs="宋体" w:hint="eastAsia"/>
                <w:szCs w:val="24"/>
              </w:rPr>
              <w:t>略微</w:t>
            </w:r>
            <w:r>
              <w:rPr>
                <w:rFonts w:cs="宋体" w:hint="eastAsia"/>
                <w:szCs w:val="24"/>
              </w:rPr>
              <w:t>落后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 w:hint="eastAsia"/>
                <w:szCs w:val="24"/>
              </w:rPr>
              <w:t>得</w:t>
            </w:r>
            <w:r>
              <w:rPr>
                <w:rFonts w:cs="宋体" w:hint="eastAsia"/>
                <w:szCs w:val="24"/>
              </w:rPr>
              <w:t>4</w:t>
            </w:r>
            <w:r>
              <w:rPr>
                <w:rFonts w:cs="宋体" w:hint="eastAsia"/>
                <w:szCs w:val="24"/>
              </w:rPr>
              <w:t>分；</w:t>
            </w:r>
            <w:r>
              <w:rPr>
                <w:rFonts w:cs="宋体" w:hint="eastAsia"/>
                <w:szCs w:val="24"/>
              </w:rPr>
              <w:t>提供的设备</w:t>
            </w:r>
            <w:r>
              <w:rPr>
                <w:rFonts w:cs="宋体" w:hint="eastAsia"/>
                <w:szCs w:val="24"/>
              </w:rPr>
              <w:t>明显</w:t>
            </w:r>
            <w:r>
              <w:rPr>
                <w:rFonts w:cs="宋体" w:hint="eastAsia"/>
                <w:szCs w:val="24"/>
              </w:rPr>
              <w:t>欠缺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 w:hint="eastAsia"/>
                <w:szCs w:val="24"/>
              </w:rPr>
              <w:t>设备年限很长</w:t>
            </w:r>
            <w:r>
              <w:rPr>
                <w:rFonts w:cs="宋体" w:hint="eastAsia"/>
                <w:szCs w:val="24"/>
              </w:rPr>
              <w:t>，无法较好满足体检服务要求的得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分</w:t>
            </w:r>
            <w:r>
              <w:rPr>
                <w:rFonts w:cs="宋体" w:hint="eastAsia"/>
                <w:szCs w:val="24"/>
              </w:rPr>
              <w:t>；</w:t>
            </w:r>
            <w:r>
              <w:rPr>
                <w:rFonts w:cs="宋体" w:hint="eastAsia"/>
                <w:szCs w:val="24"/>
              </w:rPr>
              <w:t>未提供得</w:t>
            </w:r>
            <w:r>
              <w:rPr>
                <w:rFonts w:cs="宋体" w:hint="eastAsia"/>
                <w:szCs w:val="24"/>
              </w:rPr>
              <w:t>0</w:t>
            </w:r>
            <w:r>
              <w:rPr>
                <w:rFonts w:cs="宋体" w:hint="eastAsia"/>
                <w:szCs w:val="24"/>
              </w:rPr>
              <w:t>分。</w:t>
            </w:r>
          </w:p>
          <w:p w:rsidR="00263CE6" w:rsidRDefault="00C17E18">
            <w:pPr>
              <w:spacing w:line="40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（</w:t>
            </w:r>
            <w:r>
              <w:rPr>
                <w:rFonts w:cs="宋体" w:hint="eastAsia"/>
                <w:szCs w:val="24"/>
              </w:rPr>
              <w:t>提供</w:t>
            </w:r>
            <w:r>
              <w:rPr>
                <w:rFonts w:cs="宋体" w:hint="eastAsia"/>
                <w:szCs w:val="24"/>
              </w:rPr>
              <w:t>注明年限的</w:t>
            </w:r>
            <w:r>
              <w:rPr>
                <w:rFonts w:cs="宋体" w:hint="eastAsia"/>
                <w:szCs w:val="24"/>
              </w:rPr>
              <w:t>体检设备清单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 w:hint="eastAsia"/>
                <w:szCs w:val="24"/>
              </w:rPr>
              <w:t>注明对应的体检项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 w:hint="eastAsia"/>
                <w:szCs w:val="24"/>
              </w:rPr>
              <w:t>图片</w:t>
            </w:r>
            <w:r>
              <w:rPr>
                <w:rFonts w:cs="宋体" w:hint="eastAsia"/>
                <w:szCs w:val="24"/>
              </w:rPr>
              <w:t>等证明材料</w:t>
            </w:r>
            <w:r>
              <w:rPr>
                <w:rFonts w:cs="宋体" w:hint="eastAsia"/>
                <w:szCs w:val="24"/>
              </w:rPr>
              <w:t>）</w:t>
            </w:r>
          </w:p>
        </w:tc>
      </w:tr>
      <w:tr w:rsidR="00263CE6">
        <w:trPr>
          <w:trHeight w:val="90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cs="宋体"/>
                <w:kern w:val="1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体检服务方案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根据各供应商在体检前期对体检选项、预约安排，事项提醒，检前宣传讲座等各种服务进行评分。</w:t>
            </w:r>
          </w:p>
          <w:p w:rsidR="00263CE6" w:rsidRDefault="00C17E18">
            <w:pPr>
              <w:pStyle w:val="TableParagraph"/>
              <w:spacing w:line="4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服务方案详细、合理可行该项得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  <w:lang w:val="en-US"/>
              </w:rPr>
              <w:t>分；服务方案详细、较为合理该项得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分；完全不可行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不合理</w:t>
            </w:r>
            <w:r>
              <w:rPr>
                <w:rFonts w:hint="eastAsia"/>
                <w:lang w:val="en-US"/>
              </w:rPr>
              <w:t>或</w:t>
            </w:r>
            <w:r>
              <w:rPr>
                <w:rFonts w:hint="eastAsia"/>
                <w:lang w:val="en-US"/>
              </w:rPr>
              <w:t>不提供不得分。</w:t>
            </w:r>
          </w:p>
          <w:p w:rsidR="00263CE6" w:rsidRDefault="00C17E18">
            <w:pPr>
              <w:pStyle w:val="TableParagraph"/>
              <w:spacing w:line="4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根据供应商在体检中期对现场接待、指导，导检</w:t>
            </w:r>
            <w:r>
              <w:rPr>
                <w:rFonts w:hint="eastAsia"/>
                <w:lang w:val="en-US"/>
              </w:rPr>
              <w:t>服务</w:t>
            </w:r>
            <w:r>
              <w:rPr>
                <w:rFonts w:hint="eastAsia"/>
                <w:lang w:val="en-US"/>
              </w:rPr>
              <w:t>，体检过程中注意事项等等，中期工作的服务方案进行评分。</w:t>
            </w:r>
          </w:p>
          <w:p w:rsidR="00263CE6" w:rsidRDefault="00C17E18">
            <w:pPr>
              <w:pStyle w:val="TableParagraph"/>
              <w:spacing w:line="4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服务方案详细、合理可行该项得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  <w:lang w:val="en-US"/>
              </w:rPr>
              <w:t>分；服务方案详细、较为合理该项得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分；完全不可行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不合理</w:t>
            </w:r>
            <w:r>
              <w:rPr>
                <w:rFonts w:hint="eastAsia"/>
                <w:lang w:val="en-US"/>
              </w:rPr>
              <w:t>或</w:t>
            </w:r>
            <w:r>
              <w:rPr>
                <w:rFonts w:hint="eastAsia"/>
                <w:lang w:val="en-US"/>
              </w:rPr>
              <w:t>不提供不得分。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根据各供应商在体检后期对体检报告内容、体检分析、体检提示、档案保存等等，后期工作的服务方案进行评分。</w:t>
            </w:r>
          </w:p>
          <w:p w:rsidR="00263CE6" w:rsidRDefault="00C17E18">
            <w:pPr>
              <w:pStyle w:val="TableParagraph"/>
              <w:spacing w:line="4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服务方案详细、合理可行该项得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  <w:lang w:val="en-US"/>
              </w:rPr>
              <w:t>分；服务方案详细、较为合理该项得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  <w:lang w:val="en-US"/>
              </w:rPr>
              <w:t>分；完全不可行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不合理</w:t>
            </w:r>
            <w:r>
              <w:rPr>
                <w:rFonts w:hint="eastAsia"/>
                <w:lang w:val="en-US"/>
              </w:rPr>
              <w:t>或</w:t>
            </w:r>
            <w:r>
              <w:rPr>
                <w:rFonts w:hint="eastAsia"/>
                <w:lang w:val="en-US"/>
              </w:rPr>
              <w:t>不提供不得分。</w:t>
            </w:r>
          </w:p>
        </w:tc>
      </w:tr>
      <w:tr w:rsidR="00263CE6">
        <w:trPr>
          <w:trHeight w:val="2490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cs="宋体"/>
                <w:snapToGrid w:val="0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napToGrid w:val="0"/>
                <w:szCs w:val="24"/>
              </w:rPr>
            </w:pPr>
            <w:r>
              <w:rPr>
                <w:rFonts w:cs="宋体" w:hint="eastAsia"/>
                <w:szCs w:val="24"/>
                <w:lang w:val="zh-CN"/>
              </w:rPr>
              <w:t>服务质量保证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napToGrid w:val="0"/>
                <w:szCs w:val="24"/>
              </w:rPr>
            </w:pPr>
            <w:r>
              <w:rPr>
                <w:rFonts w:cs="宋体" w:hint="eastAsia"/>
                <w:szCs w:val="24"/>
              </w:rPr>
              <w:t>4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spacing w:line="380" w:lineRule="exact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供应商提供的质量保障措施、是否严格执行医疗规范，如何有效杜绝医疗事故、保障体检质量</w:t>
            </w:r>
            <w:r>
              <w:rPr>
                <w:rFonts w:cs="宋体" w:hint="eastAsia"/>
                <w:szCs w:val="24"/>
              </w:rPr>
              <w:t>措施、关键体检环节质量控制</w:t>
            </w:r>
            <w:r>
              <w:rPr>
                <w:rFonts w:cs="宋体" w:hint="eastAsia"/>
                <w:szCs w:val="24"/>
              </w:rPr>
              <w:t>等内容完善，科学合理进行评审</w:t>
            </w:r>
            <w:r>
              <w:rPr>
                <w:rFonts w:cs="宋体" w:hint="eastAsia"/>
                <w:szCs w:val="24"/>
              </w:rPr>
              <w:t>。</w:t>
            </w:r>
          </w:p>
          <w:p w:rsidR="00263CE6" w:rsidRDefault="00C17E18">
            <w:pPr>
              <w:spacing w:line="380" w:lineRule="exact"/>
              <w:rPr>
                <w:rFonts w:cs="宋体"/>
                <w:snapToGrid w:val="0"/>
                <w:szCs w:val="24"/>
              </w:rPr>
            </w:pPr>
            <w:r>
              <w:rPr>
                <w:rFonts w:cs="宋体" w:hint="eastAsia"/>
                <w:szCs w:val="24"/>
              </w:rPr>
              <w:t>措施方案详细、合理可行该项得</w:t>
            </w:r>
            <w:r>
              <w:rPr>
                <w:rFonts w:cs="宋体" w:hint="eastAsia"/>
                <w:szCs w:val="24"/>
              </w:rPr>
              <w:t>4</w:t>
            </w:r>
            <w:r>
              <w:rPr>
                <w:rFonts w:cs="宋体" w:hint="eastAsia"/>
                <w:szCs w:val="24"/>
              </w:rPr>
              <w:t>分；措施方案详细、较为合理该项得</w:t>
            </w:r>
            <w:r>
              <w:rPr>
                <w:rFonts w:cs="宋体" w:hint="eastAsia"/>
                <w:szCs w:val="24"/>
              </w:rPr>
              <w:t>2</w:t>
            </w:r>
            <w:r>
              <w:rPr>
                <w:rFonts w:cs="宋体" w:hint="eastAsia"/>
                <w:szCs w:val="24"/>
              </w:rPr>
              <w:t>分；完全不可行或不合理的得</w:t>
            </w:r>
            <w:r>
              <w:rPr>
                <w:rFonts w:cs="宋体" w:hint="eastAsia"/>
                <w:szCs w:val="24"/>
              </w:rPr>
              <w:t>1</w:t>
            </w:r>
            <w:r>
              <w:rPr>
                <w:rFonts w:cs="宋体" w:hint="eastAsia"/>
                <w:szCs w:val="24"/>
              </w:rPr>
              <w:t>分。不提供不得分。</w:t>
            </w:r>
          </w:p>
        </w:tc>
      </w:tr>
      <w:tr w:rsidR="00263CE6">
        <w:trPr>
          <w:trHeight w:val="3254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cs="宋体"/>
                <w:snapToGrid w:val="0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服务承诺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pStyle w:val="TableParagraph"/>
              <w:spacing w:line="38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承诺受检人体检报告出具一个月以内，在其他三甲及以上医院复查出患有重大疾病，</w:t>
            </w:r>
            <w:r>
              <w:rPr>
                <w:rFonts w:hint="eastAsia"/>
                <w:lang w:val="en-US"/>
              </w:rPr>
              <w:t>经</w:t>
            </w:r>
            <w:r>
              <w:rPr>
                <w:rFonts w:hint="eastAsia"/>
                <w:lang w:val="en-US"/>
              </w:rPr>
              <w:t>医学鉴定认可供应商检查结果有问题，供应商及时提供跟踪服务：免费复检、异常跟踪、引导就医，同时供应商应承担所有责任，供应商提供相应的承诺及措施</w:t>
            </w:r>
            <w:r>
              <w:rPr>
                <w:rFonts w:hint="eastAsia"/>
                <w:lang w:val="en-US"/>
              </w:rPr>
              <w:t>。</w:t>
            </w:r>
          </w:p>
          <w:p w:rsidR="00263CE6" w:rsidRDefault="00C17E18">
            <w:pPr>
              <w:pStyle w:val="TableParagraph"/>
              <w:spacing w:line="38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措施方案详细、合理可行该项得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  <w:lang w:val="en-US"/>
              </w:rPr>
              <w:t>分；措施方案详细、较为合理该项得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分；完全不可行或不合理的得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分。不提供不得分。</w:t>
            </w:r>
          </w:p>
        </w:tc>
      </w:tr>
      <w:tr w:rsidR="00263CE6">
        <w:trPr>
          <w:trHeight w:val="3366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cs="宋体"/>
                <w:snapToGrid w:val="0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交通服务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pStyle w:val="TableParagraph"/>
              <w:spacing w:line="38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供应商</w:t>
            </w:r>
            <w:r>
              <w:rPr>
                <w:rFonts w:hint="eastAsia"/>
                <w:lang w:val="en-US"/>
              </w:rPr>
              <w:t>提供</w:t>
            </w:r>
            <w:r w:rsidR="00AE4ED1">
              <w:rPr>
                <w:rFonts w:hint="eastAsia"/>
                <w:lang w:val="en-US"/>
              </w:rPr>
              <w:t>统一车辆接送</w:t>
            </w:r>
            <w:r>
              <w:rPr>
                <w:rFonts w:hint="eastAsia"/>
                <w:lang w:val="en-US"/>
              </w:rPr>
              <w:t>服务，能提供</w:t>
            </w:r>
            <w:r>
              <w:rPr>
                <w:rFonts w:hint="eastAsia"/>
                <w:lang w:val="en-US"/>
              </w:rPr>
              <w:t>，得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>分，不能提供不得分。</w:t>
            </w:r>
          </w:p>
          <w:p w:rsidR="00263CE6" w:rsidRDefault="004B03A8">
            <w:pPr>
              <w:pStyle w:val="TableParagraph"/>
              <w:spacing w:line="380" w:lineRule="exac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17E18">
              <w:rPr>
                <w:rFonts w:hint="eastAsia"/>
                <w:lang w:val="en-US"/>
              </w:rPr>
              <w:t>、</w:t>
            </w:r>
            <w:r w:rsidR="00C17E18">
              <w:rPr>
                <w:rFonts w:hint="eastAsia"/>
                <w:lang w:val="en-US"/>
              </w:rPr>
              <w:t>根据供应商提供的体检地点（已投入本项目的单个检测点为评审依据）的交通便利程度及自驾车停车便利程度进行评分（地图、停车场等图片证明材料）</w:t>
            </w:r>
          </w:p>
          <w:p w:rsidR="00263CE6" w:rsidRDefault="00C17E18">
            <w:pPr>
              <w:pStyle w:val="TableParagraph"/>
              <w:spacing w:line="38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交通便利，停车方便，得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分；交通及停车便利性一般，得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分；未提供或提供不全的不得分</w:t>
            </w:r>
            <w:r>
              <w:rPr>
                <w:rFonts w:hint="eastAsia"/>
                <w:lang w:val="en-US"/>
              </w:rPr>
              <w:t>。</w:t>
            </w:r>
          </w:p>
        </w:tc>
      </w:tr>
      <w:tr w:rsidR="00263CE6">
        <w:trPr>
          <w:trHeight w:val="3206"/>
          <w:jc w:val="center"/>
        </w:trPr>
        <w:tc>
          <w:tcPr>
            <w:tcW w:w="721" w:type="pct"/>
            <w:vMerge/>
            <w:vAlign w:val="center"/>
          </w:tcPr>
          <w:p w:rsidR="00263CE6" w:rsidRDefault="00263CE6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cs="宋体"/>
                <w:snapToGrid w:val="0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en-US"/>
              </w:rPr>
              <w:t>管理制度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pStyle w:val="TableParagraph"/>
              <w:spacing w:line="4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供应商有高效的项目过程管理预案和信息沟通机制，根据供应商实现项目质量控制和管理进行打分。</w:t>
            </w:r>
          </w:p>
          <w:p w:rsidR="00263CE6" w:rsidRDefault="00C17E18">
            <w:pPr>
              <w:pStyle w:val="TableParagraph"/>
              <w:spacing w:line="4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管理制度</w:t>
            </w:r>
            <w:r>
              <w:rPr>
                <w:rFonts w:hint="eastAsia"/>
                <w:lang w:val="en-US"/>
              </w:rPr>
              <w:t>详细、合理可行该项得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  <w:lang w:val="en-US"/>
              </w:rPr>
              <w:t>分；</w:t>
            </w:r>
            <w:r>
              <w:rPr>
                <w:rFonts w:hint="eastAsia"/>
                <w:lang w:val="en-US"/>
              </w:rPr>
              <w:t>管理制度</w:t>
            </w:r>
            <w:r>
              <w:rPr>
                <w:rFonts w:hint="eastAsia"/>
                <w:lang w:val="en-US"/>
              </w:rPr>
              <w:t>详细、较为合理该项得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分；完全不可行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不合理</w:t>
            </w:r>
            <w:r>
              <w:rPr>
                <w:rFonts w:hint="eastAsia"/>
                <w:lang w:val="en-US"/>
              </w:rPr>
              <w:t>或</w:t>
            </w:r>
            <w:r>
              <w:rPr>
                <w:rFonts w:hint="eastAsia"/>
                <w:lang w:val="en-US"/>
              </w:rPr>
              <w:t>不提供不得分。</w:t>
            </w:r>
          </w:p>
          <w:p w:rsidR="00263CE6" w:rsidRDefault="00C17E18">
            <w:pPr>
              <w:pStyle w:val="TableParagraph"/>
              <w:spacing w:line="4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根据供应商制定符合本项目实际情况的突发事件应急预案，充分考虑现场可能发生的意外情况，对制定应急处置方案的科学性、合理性、可行性进行综合打分。</w:t>
            </w:r>
          </w:p>
          <w:p w:rsidR="00263CE6" w:rsidRDefault="00C17E18">
            <w:pPr>
              <w:pStyle w:val="TableParagraph"/>
              <w:spacing w:line="4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应急预案详细、合理可行该项得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  <w:lang w:val="en-US"/>
              </w:rPr>
              <w:t>分；应急预案详细、较为合理该项得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分；完全不可行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rFonts w:hint="eastAsia"/>
                <w:lang w:val="en-US"/>
              </w:rPr>
              <w:t>不合理</w:t>
            </w:r>
            <w:r>
              <w:rPr>
                <w:rFonts w:hint="eastAsia"/>
                <w:lang w:val="en-US"/>
              </w:rPr>
              <w:t>或</w:t>
            </w:r>
            <w:r>
              <w:rPr>
                <w:rFonts w:hint="eastAsia"/>
                <w:lang w:val="en-US"/>
              </w:rPr>
              <w:t>不提供不得分。</w:t>
            </w:r>
          </w:p>
        </w:tc>
      </w:tr>
      <w:tr w:rsidR="00263CE6">
        <w:trPr>
          <w:trHeight w:val="3148"/>
          <w:jc w:val="center"/>
        </w:trPr>
        <w:tc>
          <w:tcPr>
            <w:tcW w:w="721" w:type="pct"/>
            <w:vAlign w:val="center"/>
          </w:tcPr>
          <w:p w:rsidR="00263CE6" w:rsidRDefault="00263CE6">
            <w:pPr>
              <w:spacing w:line="400" w:lineRule="exact"/>
              <w:jc w:val="center"/>
              <w:rPr>
                <w:rFonts w:cs="宋体"/>
                <w:kern w:val="1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zCs w:val="24"/>
              </w:rPr>
            </w:pPr>
            <w:r>
              <w:rPr>
                <w:rFonts w:cs="宋体" w:hint="eastAsia"/>
                <w:szCs w:val="24"/>
              </w:rPr>
              <w:t>增值服务</w:t>
            </w:r>
          </w:p>
        </w:tc>
        <w:tc>
          <w:tcPr>
            <w:tcW w:w="239" w:type="pct"/>
            <w:vAlign w:val="center"/>
          </w:tcPr>
          <w:p w:rsidR="00263CE6" w:rsidRDefault="00C17E18">
            <w:pPr>
              <w:spacing w:line="400" w:lineRule="exact"/>
              <w:jc w:val="center"/>
              <w:rPr>
                <w:rFonts w:cs="宋体"/>
                <w:snapToGrid w:val="0"/>
                <w:szCs w:val="24"/>
              </w:rPr>
            </w:pPr>
            <w:r>
              <w:rPr>
                <w:rFonts w:cs="宋体" w:hint="eastAsia"/>
                <w:snapToGrid w:val="0"/>
                <w:szCs w:val="24"/>
              </w:rPr>
              <w:t>8</w:t>
            </w:r>
          </w:p>
        </w:tc>
        <w:tc>
          <w:tcPr>
            <w:tcW w:w="3570" w:type="pct"/>
            <w:vAlign w:val="center"/>
          </w:tcPr>
          <w:p w:rsidR="00263CE6" w:rsidRDefault="00C17E18">
            <w:pPr>
              <w:pStyle w:val="Default"/>
              <w:spacing w:line="40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</w:rPr>
              <w:t>、供应商组织执业医生不少于</w:t>
            </w: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rFonts w:hint="eastAsia"/>
                <w:color w:val="auto"/>
                <w:szCs w:val="21"/>
              </w:rPr>
              <w:t>人的团队为采购人提供免费义诊、健康讲座活动，能提供</w:t>
            </w:r>
            <w:r>
              <w:rPr>
                <w:rFonts w:hint="eastAsia"/>
                <w:color w:val="auto"/>
                <w:szCs w:val="21"/>
              </w:rPr>
              <w:t>20</w:t>
            </w:r>
            <w:r>
              <w:rPr>
                <w:rFonts w:hint="eastAsia"/>
                <w:color w:val="auto"/>
                <w:szCs w:val="21"/>
              </w:rPr>
              <w:t>次以上的得</w:t>
            </w: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rFonts w:hint="eastAsia"/>
                <w:color w:val="auto"/>
                <w:szCs w:val="21"/>
              </w:rPr>
              <w:t>分，</w:t>
            </w:r>
            <w:r>
              <w:rPr>
                <w:rFonts w:hint="eastAsia"/>
                <w:color w:val="auto"/>
                <w:szCs w:val="21"/>
              </w:rPr>
              <w:t>10</w:t>
            </w:r>
            <w:r>
              <w:rPr>
                <w:rFonts w:hint="eastAsia"/>
                <w:color w:val="auto"/>
                <w:szCs w:val="21"/>
              </w:rPr>
              <w:t>次以上的得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分，不能提供的不得分。（需提供承诺函）</w:t>
            </w:r>
          </w:p>
          <w:p w:rsidR="00263CE6" w:rsidRDefault="00C17E18">
            <w:pPr>
              <w:pStyle w:val="Default"/>
              <w:spacing w:line="40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、供应商为有需求的体检人员提供就诊、住院、慢病管理等服务，能提供得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分，不能提供不得分。</w:t>
            </w:r>
          </w:p>
          <w:p w:rsidR="00263CE6" w:rsidRDefault="00C17E18">
            <w:pPr>
              <w:pStyle w:val="Default"/>
              <w:spacing w:line="40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rFonts w:hint="eastAsia"/>
                <w:color w:val="auto"/>
                <w:szCs w:val="21"/>
              </w:rPr>
              <w:t>、供应商提供的体检早餐品种安排，早餐品种</w:t>
            </w:r>
            <w:r>
              <w:rPr>
                <w:rFonts w:hint="eastAsia"/>
                <w:color w:val="auto"/>
                <w:szCs w:val="21"/>
              </w:rPr>
              <w:t>10</w:t>
            </w:r>
            <w:r>
              <w:rPr>
                <w:rFonts w:hint="eastAsia"/>
                <w:color w:val="auto"/>
                <w:szCs w:val="21"/>
              </w:rPr>
              <w:t>个以上得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分，早餐品种</w:t>
            </w: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rFonts w:hint="eastAsia"/>
                <w:color w:val="auto"/>
                <w:szCs w:val="21"/>
              </w:rPr>
              <w:t>个以下不得分。（需提供承诺函）</w:t>
            </w:r>
          </w:p>
          <w:p w:rsidR="00263CE6" w:rsidRDefault="00263CE6">
            <w:pPr>
              <w:spacing w:line="400" w:lineRule="exact"/>
              <w:rPr>
                <w:rFonts w:cs="宋体"/>
                <w:szCs w:val="24"/>
              </w:rPr>
            </w:pPr>
          </w:p>
        </w:tc>
      </w:tr>
    </w:tbl>
    <w:p w:rsidR="00263CE6" w:rsidRDefault="00263CE6">
      <w:pPr>
        <w:pStyle w:val="a0"/>
        <w:spacing w:line="320" w:lineRule="exact"/>
        <w:sectPr w:rsidR="00263C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3CE6" w:rsidRDefault="00263CE6"/>
    <w:sectPr w:rsidR="0026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18" w:rsidRDefault="00C17E18">
      <w:pPr>
        <w:spacing w:line="240" w:lineRule="auto"/>
      </w:pPr>
      <w:r>
        <w:separator/>
      </w:r>
    </w:p>
  </w:endnote>
  <w:endnote w:type="continuationSeparator" w:id="0">
    <w:p w:rsidR="00C17E18" w:rsidRDefault="00C17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18" w:rsidRDefault="00C17E18">
      <w:r>
        <w:separator/>
      </w:r>
    </w:p>
  </w:footnote>
  <w:footnote w:type="continuationSeparator" w:id="0">
    <w:p w:rsidR="00C17E18" w:rsidRDefault="00C1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76CF5"/>
    <w:multiLevelType w:val="multilevel"/>
    <w:tmpl w:val="3CB76CF5"/>
    <w:lvl w:ilvl="0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ZDM2ODBkZThmYWNhMDIxZjJmOTk2NWRiN2I2NDQifQ=="/>
  </w:docVars>
  <w:rsids>
    <w:rsidRoot w:val="3FA1231F"/>
    <w:rsid w:val="002308A7"/>
    <w:rsid w:val="00263CE6"/>
    <w:rsid w:val="00422F4F"/>
    <w:rsid w:val="004B03A8"/>
    <w:rsid w:val="00977A98"/>
    <w:rsid w:val="00AE4ED1"/>
    <w:rsid w:val="00C17E18"/>
    <w:rsid w:val="0CFD1647"/>
    <w:rsid w:val="0F65084A"/>
    <w:rsid w:val="18846D80"/>
    <w:rsid w:val="28B27332"/>
    <w:rsid w:val="2D8C63A3"/>
    <w:rsid w:val="3FA1231F"/>
    <w:rsid w:val="4B16042B"/>
    <w:rsid w:val="539A690B"/>
    <w:rsid w:val="5B6938AC"/>
    <w:rsid w:val="5E781EA8"/>
    <w:rsid w:val="6CD000C3"/>
    <w:rsid w:val="7D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B67332-D57E-4614-A2DF-58A46D47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</w:pPr>
    <w:rPr>
      <w:rFonts w:ascii="宋体" w:hAnsi="宋体" w:cstheme="minorBidi"/>
      <w:kern w:val="2"/>
      <w:sz w:val="24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qFormat/>
    <w:rPr>
      <w:rFonts w:cs="宋体"/>
      <w:szCs w:val="24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♂Roc</dc:creator>
  <cp:lastModifiedBy>于洋懿</cp:lastModifiedBy>
  <cp:revision>8</cp:revision>
  <dcterms:created xsi:type="dcterms:W3CDTF">2024-04-28T01:31:00Z</dcterms:created>
  <dcterms:modified xsi:type="dcterms:W3CDTF">2024-08-17T04:16:00Z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B5691D2694464652810A0E62610B75BA_11</vt:lpwstr>
  </property>
</Properties>
</file>