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52" w:rsidRDefault="00FB302E">
      <w:pPr>
        <w:spacing w:beforeLines="100" w:before="312" w:afterLines="100" w:after="312"/>
        <w:ind w:firstLineChars="0" w:firstLine="0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股权投资项目选聘法律、审计及评估机构</w:t>
      </w:r>
    </w:p>
    <w:p w:rsidR="001C2F52" w:rsidRDefault="00FB302E">
      <w:pPr>
        <w:spacing w:beforeLines="100" w:before="312" w:afterLines="100" w:after="312"/>
        <w:ind w:firstLineChars="0" w:firstLine="0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需求清单</w:t>
      </w:r>
    </w:p>
    <w:p w:rsidR="001C2F52" w:rsidRDefault="001C2F52">
      <w:pPr>
        <w:pStyle w:val="1"/>
        <w:ind w:firstLine="660"/>
      </w:pPr>
    </w:p>
    <w:p w:rsidR="001C2F52" w:rsidRDefault="00FB302E">
      <w:pPr>
        <w:pStyle w:val="1"/>
        <w:numPr>
          <w:ilvl w:val="0"/>
          <w:numId w:val="1"/>
        </w:numPr>
        <w:ind w:firstLine="660"/>
      </w:pPr>
      <w:r>
        <w:rPr>
          <w:rFonts w:hint="eastAsia"/>
        </w:rPr>
        <w:t>项目简介</w:t>
      </w:r>
    </w:p>
    <w:p w:rsidR="001C2F52" w:rsidRDefault="00FB302E">
      <w:pPr>
        <w:ind w:firstLine="640"/>
        <w:rPr>
          <w:rFonts w:ascii="宋体" w:hAnsi="宋体"/>
        </w:rPr>
      </w:pPr>
      <w:r>
        <w:rPr>
          <w:rFonts w:ascii="宋体" w:hAnsi="宋体" w:hint="eastAsia"/>
        </w:rPr>
        <w:t>国药集团动物保健股份有限公司拟投资获得标的公司不低于</w:t>
      </w:r>
      <w:r>
        <w:rPr>
          <w:rFonts w:ascii="宋体" w:hAnsi="宋体" w:hint="eastAsia"/>
        </w:rPr>
        <w:t>5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%</w:t>
      </w:r>
      <w:r>
        <w:rPr>
          <w:rFonts w:ascii="宋体" w:hAnsi="宋体" w:hint="eastAsia"/>
        </w:rPr>
        <w:t>的股权。标的公司位于山西，是一家生物医药上游原辅料企业，成立于</w:t>
      </w:r>
      <w:r>
        <w:rPr>
          <w:rFonts w:ascii="宋体" w:hAnsi="宋体" w:hint="eastAsia"/>
        </w:rPr>
        <w:t>2002</w:t>
      </w:r>
      <w:r>
        <w:rPr>
          <w:rFonts w:ascii="宋体" w:hAnsi="宋体" w:hint="eastAsia"/>
        </w:rPr>
        <w:t>年，经营范围</w:t>
      </w:r>
      <w:r>
        <w:rPr>
          <w:rFonts w:ascii="宋体" w:hAnsi="宋体"/>
        </w:rPr>
        <w:t>:</w:t>
      </w:r>
      <w:r>
        <w:rPr>
          <w:rFonts w:ascii="宋体" w:hAnsi="宋体" w:hint="eastAsia"/>
        </w:rPr>
        <w:t>动物血清</w:t>
      </w:r>
      <w:r>
        <w:rPr>
          <w:rFonts w:ascii="宋体" w:hAnsi="宋体" w:hint="eastAsia"/>
        </w:rPr>
        <w:t>(</w:t>
      </w:r>
      <w:r>
        <w:rPr>
          <w:rFonts w:ascii="宋体" w:hAnsi="宋体" w:hint="eastAsia"/>
        </w:rPr>
        <w:t>不含原料药</w:t>
      </w:r>
      <w:r>
        <w:rPr>
          <w:rFonts w:ascii="宋体" w:hAnsi="宋体" w:hint="eastAsia"/>
        </w:rPr>
        <w:t>)</w:t>
      </w:r>
      <w:r>
        <w:rPr>
          <w:rFonts w:ascii="宋体" w:hAnsi="宋体" w:hint="eastAsia"/>
        </w:rPr>
        <w:t>、毛皮的收购、加工、销售等。截止</w:t>
      </w:r>
      <w:r>
        <w:rPr>
          <w:rFonts w:ascii="宋体" w:hAnsi="宋体" w:hint="eastAsia"/>
        </w:rPr>
        <w:t>20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12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31</w:t>
      </w:r>
      <w:r>
        <w:rPr>
          <w:rFonts w:ascii="宋体" w:hAnsi="宋体" w:hint="eastAsia"/>
        </w:rPr>
        <w:t>日，资产总额约</w:t>
      </w:r>
      <w:r>
        <w:rPr>
          <w:rFonts w:ascii="宋体" w:hAnsi="宋体" w:hint="eastAsia"/>
        </w:rPr>
        <w:t>1.5</w:t>
      </w:r>
      <w:r>
        <w:rPr>
          <w:rFonts w:ascii="宋体" w:hAnsi="宋体" w:hint="eastAsia"/>
        </w:rPr>
        <w:t>亿元，净资产约</w:t>
      </w:r>
      <w:r>
        <w:rPr>
          <w:rFonts w:ascii="宋体" w:hAnsi="宋体" w:hint="eastAsia"/>
        </w:rPr>
        <w:t>1.3</w:t>
      </w:r>
      <w:r>
        <w:rPr>
          <w:rFonts w:ascii="宋体" w:hAnsi="宋体" w:hint="eastAsia"/>
        </w:rPr>
        <w:t>亿元（以上数据未经审计）。</w:t>
      </w:r>
    </w:p>
    <w:p w:rsidR="001C2F52" w:rsidRDefault="00FB302E">
      <w:pPr>
        <w:pStyle w:val="1"/>
        <w:ind w:firstLine="660"/>
      </w:pPr>
      <w:r>
        <w:rPr>
          <w:rFonts w:hint="eastAsia"/>
        </w:rPr>
        <w:t>二、项目需求</w:t>
      </w:r>
    </w:p>
    <w:p w:rsidR="001C2F52" w:rsidRDefault="00FB302E">
      <w:pPr>
        <w:pStyle w:val="2"/>
        <w:ind w:firstLine="640"/>
      </w:pPr>
      <w:r>
        <w:rPr>
          <w:rFonts w:hint="eastAsia"/>
        </w:rPr>
        <w:t>（一）法务需求</w:t>
      </w:r>
    </w:p>
    <w:p w:rsidR="001C2F52" w:rsidRDefault="00FB302E">
      <w:pPr>
        <w:ind w:firstLine="640"/>
        <w:rPr>
          <w:rFonts w:ascii="宋体" w:hAnsi="宋体"/>
        </w:rPr>
      </w:pP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为本项目所涉及的相关法律、政策等方面，提供咨询和法律建议；</w:t>
      </w:r>
    </w:p>
    <w:p w:rsidR="001C2F52" w:rsidRDefault="00FB302E">
      <w:pPr>
        <w:ind w:firstLine="640"/>
        <w:rPr>
          <w:rFonts w:ascii="宋体" w:hAnsi="宋体"/>
        </w:rPr>
      </w:pPr>
      <w:r>
        <w:rPr>
          <w:rFonts w:ascii="宋体" w:hAnsi="宋体" w:hint="eastAsia"/>
        </w:rPr>
        <w:t>2.</w:t>
      </w:r>
      <w:r>
        <w:rPr>
          <w:rFonts w:ascii="宋体" w:hAnsi="宋体" w:hint="eastAsia"/>
        </w:rPr>
        <w:t>按照招标人及主管部门的要求出具法律尽调报告及法律意见书；</w:t>
      </w:r>
    </w:p>
    <w:p w:rsidR="001C2F52" w:rsidRDefault="00FB302E">
      <w:pPr>
        <w:ind w:firstLine="640"/>
        <w:rPr>
          <w:rFonts w:ascii="宋体" w:hAnsi="宋体"/>
        </w:rPr>
      </w:pPr>
      <w:r>
        <w:rPr>
          <w:rFonts w:ascii="宋体" w:hAnsi="宋体" w:hint="eastAsia"/>
        </w:rPr>
        <w:t>3.</w:t>
      </w:r>
      <w:r>
        <w:rPr>
          <w:rFonts w:ascii="宋体" w:hAnsi="宋体" w:hint="eastAsia"/>
        </w:rPr>
        <w:t>提供内部会议文件及对外披露文件；</w:t>
      </w:r>
    </w:p>
    <w:p w:rsidR="001C2F52" w:rsidRDefault="00FB302E">
      <w:pPr>
        <w:ind w:firstLine="640"/>
        <w:rPr>
          <w:rFonts w:ascii="宋体" w:hAnsi="宋体"/>
        </w:rPr>
      </w:pPr>
      <w:r>
        <w:rPr>
          <w:rFonts w:ascii="宋体" w:hAnsi="宋体" w:hint="eastAsia"/>
        </w:rPr>
        <w:t>4.</w:t>
      </w:r>
      <w:r>
        <w:rPr>
          <w:rFonts w:ascii="宋体" w:hAnsi="宋体" w:hint="eastAsia"/>
        </w:rPr>
        <w:t>提供交易方案及相关投资协议文件；</w:t>
      </w:r>
    </w:p>
    <w:p w:rsidR="001C2F52" w:rsidRDefault="00FB302E">
      <w:pPr>
        <w:ind w:firstLine="640"/>
        <w:rPr>
          <w:rFonts w:ascii="宋体" w:hAnsi="宋体"/>
        </w:rPr>
      </w:pPr>
      <w:r>
        <w:rPr>
          <w:rFonts w:ascii="宋体" w:hAnsi="宋体" w:hint="eastAsia"/>
        </w:rPr>
        <w:t>5.</w:t>
      </w:r>
      <w:r>
        <w:rPr>
          <w:rFonts w:ascii="宋体" w:hAnsi="宋体" w:hint="eastAsia"/>
        </w:rPr>
        <w:t>根据招标人及主管部门的要求，提供关于项目的其他法律意见或建议。</w:t>
      </w:r>
    </w:p>
    <w:p w:rsidR="001C2F52" w:rsidRDefault="00FB302E">
      <w:pPr>
        <w:pStyle w:val="2"/>
        <w:ind w:firstLine="640"/>
      </w:pPr>
      <w:r>
        <w:rPr>
          <w:rFonts w:hint="eastAsia"/>
        </w:rPr>
        <w:t>（二）审计需求</w:t>
      </w:r>
    </w:p>
    <w:p w:rsidR="001C2F52" w:rsidRDefault="00FB302E">
      <w:pPr>
        <w:pStyle w:val="1"/>
        <w:ind w:firstLine="640"/>
        <w:rPr>
          <w:rFonts w:ascii="仿宋" w:eastAsia="仿宋" w:hAnsi="仿宋"/>
          <w:smallCaps w:val="0"/>
          <w:spacing w:val="0"/>
          <w:szCs w:val="22"/>
        </w:rPr>
      </w:pPr>
      <w:r>
        <w:rPr>
          <w:rFonts w:ascii="仿宋" w:eastAsia="仿宋" w:hAnsi="仿宋" w:hint="eastAsia"/>
          <w:smallCaps w:val="0"/>
          <w:spacing w:val="0"/>
          <w:szCs w:val="22"/>
        </w:rPr>
        <w:t>1.对标的公司进行财务尽调并出具尽调报告;</w:t>
      </w:r>
    </w:p>
    <w:p w:rsidR="001C2F52" w:rsidRDefault="00FB302E">
      <w:pPr>
        <w:pStyle w:val="1"/>
        <w:ind w:firstLine="640"/>
        <w:rPr>
          <w:rFonts w:ascii="仿宋" w:eastAsia="仿宋" w:hAnsi="仿宋"/>
          <w:smallCaps w:val="0"/>
          <w:spacing w:val="0"/>
          <w:szCs w:val="22"/>
        </w:rPr>
      </w:pPr>
      <w:r>
        <w:rPr>
          <w:rFonts w:ascii="仿宋" w:eastAsia="仿宋" w:hAnsi="仿宋" w:hint="eastAsia"/>
          <w:smallCaps w:val="0"/>
          <w:spacing w:val="0"/>
          <w:szCs w:val="22"/>
        </w:rPr>
        <w:t>2.以2023年3月31日为审计基准日，审计标的公司最近三年及一期资产负债表、利润表、现金流量表、权益变动</w:t>
      </w:r>
      <w:r>
        <w:rPr>
          <w:rFonts w:ascii="仿宋" w:eastAsia="仿宋" w:hAnsi="仿宋" w:hint="eastAsia"/>
          <w:smallCaps w:val="0"/>
          <w:spacing w:val="0"/>
          <w:szCs w:val="22"/>
        </w:rPr>
        <w:lastRenderedPageBreak/>
        <w:t>表以及相关财务报表附注，出具第三方审计意见；</w:t>
      </w:r>
    </w:p>
    <w:p w:rsidR="001C2F52" w:rsidRDefault="00FB302E">
      <w:pPr>
        <w:ind w:firstLine="640"/>
      </w:pPr>
      <w:r>
        <w:rPr>
          <w:rFonts w:hint="eastAsia"/>
        </w:rPr>
        <w:t>3.协助相关协议的拟定，提供专业意见和建议；</w:t>
      </w:r>
    </w:p>
    <w:p w:rsidR="001C2F52" w:rsidRDefault="00FB302E">
      <w:pPr>
        <w:pStyle w:val="2"/>
        <w:ind w:firstLine="640"/>
      </w:pPr>
      <w:r>
        <w:rPr>
          <w:rFonts w:hint="eastAsia"/>
        </w:rPr>
        <w:t>（三）评估需求</w:t>
      </w:r>
    </w:p>
    <w:p w:rsidR="001C2F52" w:rsidRDefault="00FB302E">
      <w:pPr>
        <w:ind w:firstLine="640"/>
      </w:pPr>
      <w:r>
        <w:rPr>
          <w:rFonts w:hint="eastAsia"/>
        </w:rPr>
        <w:t>1.以2023年3月31日为评估基准日，采用两种以上评估方法，对标的公司全部股东权益在基准日市场价值进行评估，并作出评估结论，为公司</w:t>
      </w:r>
      <w:r w:rsidRPr="003032C7">
        <w:rPr>
          <w:rFonts w:hint="eastAsia"/>
        </w:rPr>
        <w:t>股权</w:t>
      </w:r>
      <w:r w:rsidR="002C0F12" w:rsidRPr="003032C7">
        <w:rPr>
          <w:rFonts w:hint="eastAsia"/>
        </w:rPr>
        <w:t>投资</w:t>
      </w:r>
      <w:r w:rsidRPr="003032C7">
        <w:rPr>
          <w:rFonts w:hint="eastAsia"/>
        </w:rPr>
        <w:t>方案</w:t>
      </w:r>
      <w:r>
        <w:rPr>
          <w:rFonts w:hint="eastAsia"/>
        </w:rPr>
        <w:t>的实施提供价值参考依据等；</w:t>
      </w:r>
    </w:p>
    <w:p w:rsidR="001C2F52" w:rsidRDefault="00FB302E">
      <w:pPr>
        <w:pStyle w:val="a0"/>
      </w:pPr>
      <w:r>
        <w:rPr>
          <w:rFonts w:hint="eastAsia"/>
        </w:rPr>
        <w:t xml:space="preserve">    2.</w:t>
      </w:r>
      <w:r>
        <w:rPr>
          <w:rFonts w:hint="eastAsia"/>
        </w:rPr>
        <w:t>配合完成评估报告的外审</w:t>
      </w:r>
      <w:bookmarkStart w:id="0" w:name="_GoBack"/>
      <w:bookmarkEnd w:id="0"/>
      <w:r>
        <w:rPr>
          <w:rFonts w:hint="eastAsia"/>
        </w:rPr>
        <w:t>复核及国资备案等工作。</w:t>
      </w:r>
    </w:p>
    <w:p w:rsidR="001C2F52" w:rsidRDefault="00FB302E">
      <w:pPr>
        <w:pStyle w:val="1"/>
        <w:ind w:firstLine="660"/>
      </w:pPr>
      <w:r>
        <w:rPr>
          <w:rFonts w:hint="eastAsia"/>
        </w:rPr>
        <w:t>三、资质</w:t>
      </w:r>
    </w:p>
    <w:p w:rsidR="001C2F52" w:rsidRDefault="00FB302E">
      <w:pPr>
        <w:numPr>
          <w:ilvl w:val="255"/>
          <w:numId w:val="0"/>
        </w:numPr>
        <w:ind w:firstLine="640"/>
      </w:pPr>
      <w:r>
        <w:rPr>
          <w:rFonts w:hint="eastAsia"/>
        </w:rPr>
        <w:t>法律、审计、评估机构应具有证券、期货业务相关资格，并进入本年度国药集团中介机构备选库名单，无相关部门及行业协会警示、批评、处罚等事项。</w:t>
      </w:r>
    </w:p>
    <w:p w:rsidR="001C2F52" w:rsidRDefault="001C2F52">
      <w:pPr>
        <w:ind w:firstLine="640"/>
      </w:pPr>
    </w:p>
    <w:p w:rsidR="001C2F52" w:rsidRDefault="001C2F52">
      <w:pPr>
        <w:ind w:firstLine="640"/>
        <w:jc w:val="left"/>
      </w:pPr>
    </w:p>
    <w:p w:rsidR="001C2F52" w:rsidRDefault="00FB302E">
      <w:pPr>
        <w:ind w:firstLine="640"/>
        <w:jc w:val="right"/>
      </w:pPr>
      <w:r>
        <w:rPr>
          <w:rFonts w:hint="eastAsia"/>
        </w:rPr>
        <w:t xml:space="preserve">                  </w:t>
      </w:r>
    </w:p>
    <w:p w:rsidR="001C2F52" w:rsidRDefault="00C70F5B">
      <w:pPr>
        <w:ind w:firstLine="640"/>
        <w:jc w:val="right"/>
      </w:pPr>
      <w:r>
        <w:rPr>
          <w:rFonts w:hint="eastAsia"/>
        </w:rPr>
        <w:t>国药动保</w:t>
      </w:r>
      <w:r w:rsidR="00FB302E">
        <w:rPr>
          <w:rFonts w:hint="eastAsia"/>
        </w:rPr>
        <w:t>董事会办公室</w:t>
      </w:r>
    </w:p>
    <w:p w:rsidR="001C2F52" w:rsidRDefault="00FB302E">
      <w:pPr>
        <w:ind w:firstLine="640"/>
        <w:jc w:val="right"/>
      </w:pPr>
      <w:r>
        <w:rPr>
          <w:rFonts w:hint="eastAsia"/>
        </w:rPr>
        <w:t xml:space="preserve">                               2023年4月10日</w:t>
      </w:r>
    </w:p>
    <w:sectPr w:rsidR="001C2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15" w:rsidRDefault="00951715">
      <w:pPr>
        <w:spacing w:line="240" w:lineRule="auto"/>
        <w:ind w:firstLine="640"/>
      </w:pPr>
      <w:r>
        <w:separator/>
      </w:r>
    </w:p>
  </w:endnote>
  <w:endnote w:type="continuationSeparator" w:id="0">
    <w:p w:rsidR="00951715" w:rsidRDefault="0095171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52" w:rsidRDefault="001C2F52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52" w:rsidRDefault="001C2F52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52" w:rsidRDefault="001C2F5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15" w:rsidRDefault="00951715">
      <w:pPr>
        <w:spacing w:line="240" w:lineRule="auto"/>
        <w:ind w:firstLine="640"/>
      </w:pPr>
      <w:r>
        <w:separator/>
      </w:r>
    </w:p>
  </w:footnote>
  <w:footnote w:type="continuationSeparator" w:id="0">
    <w:p w:rsidR="00951715" w:rsidRDefault="0095171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52" w:rsidRDefault="001C2F52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52" w:rsidRPr="00C54528" w:rsidRDefault="001C2F52" w:rsidP="00C54528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52" w:rsidRDefault="001C2F52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C51A3"/>
    <w:multiLevelType w:val="singleLevel"/>
    <w:tmpl w:val="53FC51A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A8"/>
    <w:rsid w:val="00002C4A"/>
    <w:rsid w:val="00132E32"/>
    <w:rsid w:val="001C2F52"/>
    <w:rsid w:val="001E5777"/>
    <w:rsid w:val="002C0F12"/>
    <w:rsid w:val="003032C7"/>
    <w:rsid w:val="00330422"/>
    <w:rsid w:val="003A26A1"/>
    <w:rsid w:val="003A6F26"/>
    <w:rsid w:val="00467CE2"/>
    <w:rsid w:val="004D68D7"/>
    <w:rsid w:val="004D7CCB"/>
    <w:rsid w:val="00591697"/>
    <w:rsid w:val="005E6A21"/>
    <w:rsid w:val="0061023A"/>
    <w:rsid w:val="00646D89"/>
    <w:rsid w:val="00684D92"/>
    <w:rsid w:val="006C35A0"/>
    <w:rsid w:val="00804190"/>
    <w:rsid w:val="00951715"/>
    <w:rsid w:val="00B05737"/>
    <w:rsid w:val="00C54528"/>
    <w:rsid w:val="00C70F5B"/>
    <w:rsid w:val="00C848DF"/>
    <w:rsid w:val="00CE02A8"/>
    <w:rsid w:val="00D06451"/>
    <w:rsid w:val="00D23DDC"/>
    <w:rsid w:val="00DE159D"/>
    <w:rsid w:val="00EC0327"/>
    <w:rsid w:val="00F36062"/>
    <w:rsid w:val="00FB302E"/>
    <w:rsid w:val="02731F41"/>
    <w:rsid w:val="067C7391"/>
    <w:rsid w:val="08760FFC"/>
    <w:rsid w:val="08DB7FE0"/>
    <w:rsid w:val="09B77A45"/>
    <w:rsid w:val="0AFA6447"/>
    <w:rsid w:val="0B561B9B"/>
    <w:rsid w:val="0B8E2A28"/>
    <w:rsid w:val="0C2306BE"/>
    <w:rsid w:val="0C7449EF"/>
    <w:rsid w:val="0C86616C"/>
    <w:rsid w:val="0F511D4A"/>
    <w:rsid w:val="107671ED"/>
    <w:rsid w:val="10B841B6"/>
    <w:rsid w:val="11FE47AF"/>
    <w:rsid w:val="129A3159"/>
    <w:rsid w:val="17AF0186"/>
    <w:rsid w:val="18107F49"/>
    <w:rsid w:val="185F7008"/>
    <w:rsid w:val="1A96644B"/>
    <w:rsid w:val="1CBE6E1B"/>
    <w:rsid w:val="1D8F31B4"/>
    <w:rsid w:val="1DC82820"/>
    <w:rsid w:val="1DD5045B"/>
    <w:rsid w:val="1DD90651"/>
    <w:rsid w:val="1F010CE8"/>
    <w:rsid w:val="1F7B744C"/>
    <w:rsid w:val="22033961"/>
    <w:rsid w:val="237537BD"/>
    <w:rsid w:val="23D02EE8"/>
    <w:rsid w:val="25F5287D"/>
    <w:rsid w:val="25FA3BC0"/>
    <w:rsid w:val="27561396"/>
    <w:rsid w:val="27F345C9"/>
    <w:rsid w:val="2FAB337A"/>
    <w:rsid w:val="2FF90F64"/>
    <w:rsid w:val="30A65773"/>
    <w:rsid w:val="32306387"/>
    <w:rsid w:val="33996571"/>
    <w:rsid w:val="36AD1D0C"/>
    <w:rsid w:val="39F173F8"/>
    <w:rsid w:val="3AC27008"/>
    <w:rsid w:val="3B4D1A98"/>
    <w:rsid w:val="3D336460"/>
    <w:rsid w:val="3F6D18E1"/>
    <w:rsid w:val="40D665D2"/>
    <w:rsid w:val="410905D7"/>
    <w:rsid w:val="43D41529"/>
    <w:rsid w:val="43EE17DD"/>
    <w:rsid w:val="46ED7DE6"/>
    <w:rsid w:val="476F1953"/>
    <w:rsid w:val="47FF1F8D"/>
    <w:rsid w:val="482F300B"/>
    <w:rsid w:val="483C7613"/>
    <w:rsid w:val="4B9E5D94"/>
    <w:rsid w:val="4BE33EFC"/>
    <w:rsid w:val="4C1F3AD5"/>
    <w:rsid w:val="4CCC2B78"/>
    <w:rsid w:val="515F2E39"/>
    <w:rsid w:val="528F0FA0"/>
    <w:rsid w:val="52BE75B9"/>
    <w:rsid w:val="564D2890"/>
    <w:rsid w:val="58EC7402"/>
    <w:rsid w:val="5C8B2965"/>
    <w:rsid w:val="5E31311D"/>
    <w:rsid w:val="5E5B73FB"/>
    <w:rsid w:val="5F1753F7"/>
    <w:rsid w:val="61AF6361"/>
    <w:rsid w:val="644B2648"/>
    <w:rsid w:val="664816EF"/>
    <w:rsid w:val="66E32396"/>
    <w:rsid w:val="6A0F5C1C"/>
    <w:rsid w:val="6A253427"/>
    <w:rsid w:val="6AF531FE"/>
    <w:rsid w:val="6BCF3B0B"/>
    <w:rsid w:val="6CF4720D"/>
    <w:rsid w:val="6FDE4A28"/>
    <w:rsid w:val="70FF1D62"/>
    <w:rsid w:val="711104A3"/>
    <w:rsid w:val="72E1353B"/>
    <w:rsid w:val="73D541E0"/>
    <w:rsid w:val="76E362F0"/>
    <w:rsid w:val="77680DB6"/>
    <w:rsid w:val="77C8607E"/>
    <w:rsid w:val="77CC6F26"/>
    <w:rsid w:val="789544CD"/>
    <w:rsid w:val="78A2791E"/>
    <w:rsid w:val="78AC7A9F"/>
    <w:rsid w:val="79553740"/>
    <w:rsid w:val="79CB1D82"/>
    <w:rsid w:val="7B1E25A2"/>
    <w:rsid w:val="7B4D500B"/>
    <w:rsid w:val="7BA23765"/>
    <w:rsid w:val="7CFF1CE3"/>
    <w:rsid w:val="7D180069"/>
    <w:rsid w:val="7E945616"/>
    <w:rsid w:val="7E9C4525"/>
    <w:rsid w:val="7EB33F29"/>
    <w:rsid w:val="7F6B7F1F"/>
    <w:rsid w:val="7FE1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5B6FF0-42FC-4457-B731-245A4AFC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540" w:lineRule="exact"/>
      <w:ind w:firstLineChars="200" w:firstLine="482"/>
      <w:jc w:val="both"/>
    </w:pPr>
    <w:rPr>
      <w:rFonts w:ascii="仿宋" w:eastAsia="仿宋" w:hAnsi="仿宋"/>
      <w:kern w:val="2"/>
      <w:sz w:val="32"/>
      <w:szCs w:val="22"/>
    </w:rPr>
  </w:style>
  <w:style w:type="paragraph" w:styleId="1">
    <w:name w:val="heading 1"/>
    <w:basedOn w:val="a"/>
    <w:next w:val="a"/>
    <w:qFormat/>
    <w:pPr>
      <w:contextualSpacing/>
      <w:outlineLvl w:val="0"/>
    </w:pPr>
    <w:rPr>
      <w:rFonts w:ascii="黑体" w:eastAsia="黑体" w:hAnsi="黑体"/>
      <w:smallCaps/>
      <w:spacing w:val="5"/>
      <w:szCs w:val="36"/>
    </w:rPr>
  </w:style>
  <w:style w:type="paragraph" w:styleId="2">
    <w:name w:val="heading 2"/>
    <w:basedOn w:val="a"/>
    <w:next w:val="a"/>
    <w:unhideWhenUsed/>
    <w:qFormat/>
    <w:pPr>
      <w:snapToGrid w:val="0"/>
      <w:contextualSpacing/>
      <w:outlineLvl w:val="1"/>
    </w:pPr>
    <w:rPr>
      <w:rFonts w:ascii="楷体" w:eastAsia="楷体" w:hAnsi="楷体"/>
      <w:smallCaps/>
      <w:szCs w:val="28"/>
    </w:rPr>
  </w:style>
  <w:style w:type="paragraph" w:styleId="3">
    <w:name w:val="heading 3"/>
    <w:basedOn w:val="a"/>
    <w:next w:val="a"/>
    <w:semiHidden/>
    <w:unhideWhenUsed/>
    <w:qFormat/>
    <w:pPr>
      <w:outlineLvl w:val="2"/>
    </w:pPr>
    <w:rPr>
      <w:rFonts w:asciiTheme="minorHAnsi" w:hAnsiTheme="minorHAnsi"/>
      <w:iCs/>
      <w:smallCaps/>
      <w:spacing w:val="5"/>
      <w:szCs w:val="26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240" w:lineRule="auto"/>
      <w:outlineLvl w:val="3"/>
    </w:pPr>
    <w:rPr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pPr>
      <w:ind w:firstLineChars="0" w:firstLine="0"/>
    </w:pPr>
    <w:rPr>
      <w:rFonts w:ascii="仿宋_GB2312" w:hAnsi="仿宋_GB2312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alloon Text"/>
    <w:basedOn w:val="a"/>
    <w:link w:val="Char0"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qFormat/>
    <w:rPr>
      <w:b/>
      <w:bCs/>
    </w:rPr>
  </w:style>
  <w:style w:type="character" w:styleId="a9">
    <w:name w:val="annotation reference"/>
    <w:basedOn w:val="a1"/>
    <w:qFormat/>
    <w:rPr>
      <w:sz w:val="21"/>
      <w:szCs w:val="21"/>
    </w:rPr>
  </w:style>
  <w:style w:type="character" w:customStyle="1" w:styleId="Char2">
    <w:name w:val="页眉 Char"/>
    <w:basedOn w:val="a1"/>
    <w:link w:val="a7"/>
    <w:qFormat/>
    <w:rPr>
      <w:rFonts w:ascii="仿宋" w:eastAsia="仿宋" w:hAnsi="仿宋"/>
      <w:kern w:val="2"/>
      <w:sz w:val="18"/>
      <w:szCs w:val="18"/>
    </w:rPr>
  </w:style>
  <w:style w:type="character" w:customStyle="1" w:styleId="Char1">
    <w:name w:val="页脚 Char"/>
    <w:basedOn w:val="a1"/>
    <w:link w:val="a6"/>
    <w:qFormat/>
    <w:rPr>
      <w:rFonts w:ascii="仿宋" w:eastAsia="仿宋" w:hAnsi="仿宋"/>
      <w:kern w:val="2"/>
      <w:sz w:val="18"/>
      <w:szCs w:val="18"/>
    </w:rPr>
  </w:style>
  <w:style w:type="character" w:customStyle="1" w:styleId="Char">
    <w:name w:val="批注文字 Char"/>
    <w:basedOn w:val="a1"/>
    <w:link w:val="a4"/>
    <w:qFormat/>
    <w:rPr>
      <w:rFonts w:ascii="仿宋" w:eastAsia="仿宋" w:hAnsi="仿宋"/>
      <w:kern w:val="2"/>
      <w:sz w:val="28"/>
      <w:szCs w:val="22"/>
    </w:rPr>
  </w:style>
  <w:style w:type="character" w:customStyle="1" w:styleId="Char3">
    <w:name w:val="批注主题 Char"/>
    <w:basedOn w:val="Char"/>
    <w:link w:val="a8"/>
    <w:qFormat/>
    <w:rPr>
      <w:rFonts w:ascii="仿宋" w:eastAsia="仿宋" w:hAnsi="仿宋"/>
      <w:b/>
      <w:bCs/>
      <w:kern w:val="2"/>
      <w:sz w:val="28"/>
      <w:szCs w:val="22"/>
    </w:rPr>
  </w:style>
  <w:style w:type="character" w:customStyle="1" w:styleId="Char0">
    <w:name w:val="批注框文本 Char"/>
    <w:basedOn w:val="a1"/>
    <w:link w:val="a5"/>
    <w:qFormat/>
    <w:rPr>
      <w:rFonts w:ascii="仿宋" w:eastAsia="仿宋" w:hAnsi="仿宋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spacing w:line="240" w:lineRule="auto"/>
      <w:ind w:firstLine="420"/>
    </w:pPr>
    <w:rPr>
      <w:rFonts w:asciiTheme="minorHAnsi" w:eastAsiaTheme="minorEastAsia" w:hAnsiTheme="minorHAnsi"/>
      <w:sz w:val="21"/>
    </w:rPr>
  </w:style>
  <w:style w:type="paragraph" w:customStyle="1" w:styleId="10">
    <w:name w:val="修订1"/>
    <w:hidden/>
    <w:uiPriority w:val="99"/>
    <w:semiHidden/>
    <w:qFormat/>
    <w:rPr>
      <w:rFonts w:ascii="仿宋" w:eastAsia="仿宋" w:hAnsi="仿宋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34573</dc:creator>
  <cp:lastModifiedBy>国药动保公文收发文员</cp:lastModifiedBy>
  <cp:revision>11</cp:revision>
  <dcterms:created xsi:type="dcterms:W3CDTF">2022-08-19T05:48:00Z</dcterms:created>
  <dcterms:modified xsi:type="dcterms:W3CDTF">2023-04-12T08:15:00Z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